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ФЕДЕРАЛЬНАЯ СЛУЖБА ПО ФИНАНСОВОМУ МОНИТОРИНГУ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ПРИКАЗ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от 10 ноября 2011 г. № 361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ОБ ОПРЕДЕЛЕНИИ ПЕРЕЧНЯ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ГОСУДАРСТВ (ТЕРРИТОРИЙ), КОТОРЫЕ НЕ ВЫПОЛНЯЮТ РЕКОМЕНДАЦИИ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ГРУППЫ РАЗРАБОТКИ ФИНАНСОВЫХ МЕР БОРЬБЫ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С ОТМЫВАНИЕМ ДЕНЕГ (ФАТФ)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 xml:space="preserve">В соответствии со </w:t>
      </w:r>
      <w:hyperlink r:id="rId5" w:history="1">
        <w:r w:rsidRPr="00597299">
          <w:rPr>
            <w:rFonts w:ascii="Times New Roman" w:hAnsi="Times New Roman" w:cs="Times New Roman"/>
          </w:rPr>
          <w:t>статьей 6</w:t>
        </w:r>
      </w:hyperlink>
      <w:r w:rsidRPr="00597299">
        <w:rPr>
          <w:rFonts w:ascii="Times New Roman" w:hAnsi="Times New Roman" w:cs="Times New Roman"/>
        </w:rPr>
        <w:t xml:space="preserve"> Федерального закона от 7 августа 2001 г. № 115-ФЗ "О противодействии легализации (отмыванию) доходов, полученных преступным путем, и финансированию терроризма" (Собрание законодательства Российской Федерации, 2001, № 33, ст. 3418; 2002, № 30, ст. 3029, № 44, ст. 4296; 2004, № 31, ст. 3224; 2005, № 47, ст. 4828; 2006, № 31, ст. 3446, 3452; 2007, № 16, ст. 1831, № 31, ст. 3993, 4011, № 49, ст. 6036; 2009, № 23, ст. 2776, № 29, ст. 3600; 2010, № 28, ст. 3553, № 30, ст. 4007, № 31, ст. 4166; 2011, № 27, ст. 3873), </w:t>
      </w:r>
      <w:hyperlink r:id="rId6" w:history="1">
        <w:r w:rsidRPr="00597299">
          <w:rPr>
            <w:rFonts w:ascii="Times New Roman" w:hAnsi="Times New Roman" w:cs="Times New Roman"/>
          </w:rPr>
          <w:t>Постановлением</w:t>
        </w:r>
      </w:hyperlink>
      <w:r w:rsidRPr="00597299">
        <w:rPr>
          <w:rFonts w:ascii="Times New Roman" w:hAnsi="Times New Roman" w:cs="Times New Roman"/>
        </w:rPr>
        <w:t xml:space="preserve"> Правительства Российской Федерации от 26 марта 2003 года № 173 "О порядке определения и опубликования перечня государств (территорий), которые не выполняют рекомендации Группы разработки финансовых мер борьбы с отмыванием денег (ФАТФ)" (Собрание законодательства Российской Федерации, 2003, № 13, ст. 1243; 2005, № 44, ст. 4562; 2011, № 2, ст. 375), а также с учетом документов, издаваемых Группой разработки финансовых мер борьбы с отмыванием денег (ФАТФ), приказываю: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 xml:space="preserve">1. Определить </w:t>
      </w:r>
      <w:hyperlink w:anchor="P33" w:history="1">
        <w:r w:rsidRPr="00597299">
          <w:rPr>
            <w:rFonts w:ascii="Times New Roman" w:hAnsi="Times New Roman" w:cs="Times New Roman"/>
          </w:rPr>
          <w:t>перечень</w:t>
        </w:r>
      </w:hyperlink>
      <w:r w:rsidRPr="00597299">
        <w:rPr>
          <w:rFonts w:ascii="Times New Roman" w:hAnsi="Times New Roman" w:cs="Times New Roman"/>
        </w:rPr>
        <w:t xml:space="preserve"> стран и территорий, которые не выполняют рекомендации Группы разработки финансовых мер борьбы с отмыванием денег (ФАТФ), согласно </w:t>
      </w:r>
      <w:proofErr w:type="gramStart"/>
      <w:r w:rsidRPr="00597299">
        <w:rPr>
          <w:rFonts w:ascii="Times New Roman" w:hAnsi="Times New Roman" w:cs="Times New Roman"/>
        </w:rPr>
        <w:t>приложению</w:t>
      </w:r>
      <w:proofErr w:type="gramEnd"/>
      <w:r w:rsidRPr="00597299">
        <w:rPr>
          <w:rFonts w:ascii="Times New Roman" w:hAnsi="Times New Roman" w:cs="Times New Roman"/>
        </w:rPr>
        <w:t xml:space="preserve"> к настоящему Приказу.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 xml:space="preserve">2. Указанный </w:t>
      </w:r>
      <w:hyperlink w:anchor="P33" w:history="1">
        <w:r w:rsidRPr="00597299">
          <w:rPr>
            <w:rFonts w:ascii="Times New Roman" w:hAnsi="Times New Roman" w:cs="Times New Roman"/>
          </w:rPr>
          <w:t>перечень</w:t>
        </w:r>
      </w:hyperlink>
      <w:r w:rsidRPr="00597299">
        <w:rPr>
          <w:rFonts w:ascii="Times New Roman" w:hAnsi="Times New Roman" w:cs="Times New Roman"/>
        </w:rPr>
        <w:t xml:space="preserve"> подлежит опубликованию на официальном сайте Федеральной службы по финансовому мониторингу.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3. Контроль за исполнением настоящего Приказа оставляю за собой.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Руководитель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Ю.А.ЧИХАНЧИН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outlineLvl w:val="0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Приложение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Утвержден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Приказом Федеральной службы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по финансовому мониторингу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от 10.11.2011 № 361</w:t>
      </w:r>
    </w:p>
    <w:p w:rsidR="00597299" w:rsidRPr="00597299" w:rsidRDefault="00597299">
      <w:pPr>
        <w:spacing w:after="1" w:line="220" w:lineRule="atLeast"/>
        <w:jc w:val="right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597299">
        <w:rPr>
          <w:rFonts w:ascii="Times New Roman" w:hAnsi="Times New Roman" w:cs="Times New Roman"/>
          <w:b/>
        </w:rPr>
        <w:t>ПЕРЕЧЕНЬ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ГОСУДАРСТВ (ТЕРРИТОРИЙ), КОТОРЫЕ НЕ ВЫПОЛНЯЮТ РЕКОМЕНДАЦИИ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ГРУППЫ РАЗРАБОТКИ ФИНАНСОВЫХ МЕР БОРЬБЫ С ОТМЫВАНИЕМ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  <w:b/>
        </w:rPr>
        <w:t>ДЕНЕГ (ФАТФ)</w:t>
      </w:r>
    </w:p>
    <w:p w:rsidR="00597299" w:rsidRPr="00597299" w:rsidRDefault="00597299">
      <w:pPr>
        <w:spacing w:after="1" w:line="220" w:lineRule="atLeast"/>
        <w:jc w:val="center"/>
        <w:rPr>
          <w:rFonts w:ascii="Times New Roman" w:hAnsi="Times New Roman" w:cs="Times New Roman"/>
        </w:rPr>
      </w:pP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1. Исламская Республика Иран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597299">
        <w:rPr>
          <w:rFonts w:ascii="Times New Roman" w:hAnsi="Times New Roman" w:cs="Times New Roman"/>
        </w:rPr>
        <w:t>2. Корейская Народно-Демократическая Республика</w:t>
      </w:r>
    </w:p>
    <w:p w:rsidR="00597299" w:rsidRPr="00597299" w:rsidRDefault="0059729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</w:p>
    <w:p w:rsidR="00FB2B97" w:rsidRPr="00597299" w:rsidRDefault="00FB2B97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</w:p>
    <w:sectPr w:rsidR="00FB2B97" w:rsidRPr="00597299" w:rsidSect="00652F5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6BE"/>
    <w:rsid w:val="003516BE"/>
    <w:rsid w:val="003855EB"/>
    <w:rsid w:val="00597299"/>
    <w:rsid w:val="005A02E3"/>
    <w:rsid w:val="00953D0F"/>
    <w:rsid w:val="00F7193E"/>
    <w:rsid w:val="00FB2B97"/>
    <w:rsid w:val="00FC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C53E7-E609-495C-B21F-3CADF8FA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1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516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16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1D9291F26794991CD03C8D4F3586D216F1EF5EE14B3A27F4577F28C8F416B61710CBADvBJ" TargetMode="External"/><Relationship Id="rId5" Type="http://schemas.openxmlformats.org/officeDocument/2006/relationships/hyperlink" Target="consultantplus://offline/ref=931D9291F26794991CD03C8D4F3586D215F1E65FE24B3A27F4577F28C8F416B61710CBDCA1v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D6DD-3780-4DD1-BC42-F0A8F99D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yvHromova</dc:creator>
  <cp:keywords/>
  <dc:description/>
  <cp:lastModifiedBy>yvHromova</cp:lastModifiedBy>
  <cp:revision>7</cp:revision>
  <dcterms:created xsi:type="dcterms:W3CDTF">2016-11-22T09:26:00Z</dcterms:created>
  <dcterms:modified xsi:type="dcterms:W3CDTF">2016-11-22T09:47:00Z</dcterms:modified>
</cp:coreProperties>
</file>