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93E" w:rsidRPr="00F7193E" w:rsidRDefault="00F7193E">
      <w:pPr>
        <w:spacing w:after="1" w:line="220" w:lineRule="atLeast"/>
        <w:jc w:val="both"/>
        <w:outlineLvl w:val="0"/>
        <w:rPr>
          <w:rFonts w:ascii="Times New Roman" w:hAnsi="Times New Roman" w:cs="Times New Roman"/>
        </w:rPr>
      </w:pPr>
    </w:p>
    <w:p w:rsidR="00F7193E" w:rsidRPr="00F7193E" w:rsidRDefault="00F7193E">
      <w:pPr>
        <w:spacing w:after="1" w:line="220" w:lineRule="atLeast"/>
        <w:jc w:val="center"/>
        <w:outlineLvl w:val="0"/>
        <w:rPr>
          <w:rFonts w:ascii="Times New Roman" w:hAnsi="Times New Roman" w:cs="Times New Roman"/>
        </w:rPr>
      </w:pPr>
      <w:r w:rsidRPr="00F7193E">
        <w:rPr>
          <w:rFonts w:ascii="Times New Roman" w:hAnsi="Times New Roman" w:cs="Times New Roman"/>
          <w:b/>
        </w:rPr>
        <w:t>ФЕДЕРАЛЬНАЯ СЛУЖБА ПО ФИНАНСОВОМУ МОНИТОРИНГУ</w:t>
      </w:r>
    </w:p>
    <w:p w:rsidR="00F7193E" w:rsidRPr="00F7193E" w:rsidRDefault="00F7193E">
      <w:pPr>
        <w:spacing w:after="1" w:line="220" w:lineRule="atLeast"/>
        <w:jc w:val="center"/>
        <w:rPr>
          <w:rFonts w:ascii="Times New Roman" w:hAnsi="Times New Roman" w:cs="Times New Roman"/>
        </w:rPr>
      </w:pP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b/>
        </w:rPr>
        <w:t>ПРИКАЗ</w:t>
      </w:r>
    </w:p>
    <w:p w:rsidR="00F7193E" w:rsidRPr="00F7193E" w:rsidRDefault="00F7193E">
      <w:pPr>
        <w:spacing w:after="1" w:line="220" w:lineRule="atLeast"/>
        <w:jc w:val="center"/>
        <w:rPr>
          <w:rFonts w:ascii="Times New Roman" w:hAnsi="Times New Roman" w:cs="Times New Roman"/>
        </w:rPr>
      </w:pP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b/>
        </w:rPr>
        <w:t>от 8 мая 2009 г. № 103</w:t>
      </w:r>
    </w:p>
    <w:p w:rsidR="00F7193E" w:rsidRPr="00F7193E" w:rsidRDefault="00F7193E">
      <w:pPr>
        <w:spacing w:after="1" w:line="220" w:lineRule="atLeast"/>
        <w:jc w:val="center"/>
        <w:rPr>
          <w:rFonts w:ascii="Times New Roman" w:hAnsi="Times New Roman" w:cs="Times New Roman"/>
        </w:rPr>
      </w:pP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b/>
        </w:rPr>
        <w:t>ОБ УТВЕРЖДЕНИИ РЕКОМЕНДАЦИЙ</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b/>
        </w:rPr>
        <w:t>ПО РАЗРАБОТКЕ КРИТЕРИЕВ ВЫЯВЛЕНИЯ И ОПРЕДЕЛЕНИЮ ПРИЗНАКОВ</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b/>
        </w:rPr>
        <w:t>НЕОБЫЧНЫХ СДЕЛОК</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Список изменяющих документов</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 xml:space="preserve">(в ред. Приказов Росфинмониторинга от 14.09.2010 </w:t>
      </w:r>
      <w:hyperlink r:id="rId5" w:history="1">
        <w:r w:rsidRPr="00F7193E">
          <w:rPr>
            <w:rFonts w:ascii="Times New Roman" w:hAnsi="Times New Roman" w:cs="Times New Roman"/>
          </w:rPr>
          <w:t>№ 242</w:t>
        </w:r>
      </w:hyperlink>
      <w:r w:rsidRPr="00F7193E">
        <w:rPr>
          <w:rFonts w:ascii="Times New Roman" w:hAnsi="Times New Roman" w:cs="Times New Roman"/>
        </w:rPr>
        <w:t>,</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 xml:space="preserve">от 14.03.2011 </w:t>
      </w:r>
      <w:hyperlink r:id="rId6" w:history="1">
        <w:r w:rsidRPr="00F7193E">
          <w:rPr>
            <w:rFonts w:ascii="Times New Roman" w:hAnsi="Times New Roman" w:cs="Times New Roman"/>
          </w:rPr>
          <w:t>№ 87</w:t>
        </w:r>
      </w:hyperlink>
      <w:r w:rsidRPr="00F7193E">
        <w:rPr>
          <w:rFonts w:ascii="Times New Roman" w:hAnsi="Times New Roman" w:cs="Times New Roman"/>
        </w:rPr>
        <w:t xml:space="preserve">, от 14.02.2012 </w:t>
      </w:r>
      <w:hyperlink r:id="rId7" w:history="1">
        <w:r w:rsidRPr="00F7193E">
          <w:rPr>
            <w:rFonts w:ascii="Times New Roman" w:hAnsi="Times New Roman" w:cs="Times New Roman"/>
          </w:rPr>
          <w:t>№ 43</w:t>
        </w:r>
      </w:hyperlink>
      <w:r w:rsidRPr="00F7193E">
        <w:rPr>
          <w:rFonts w:ascii="Times New Roman" w:hAnsi="Times New Roman" w:cs="Times New Roman"/>
        </w:rPr>
        <w:t>,</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 xml:space="preserve">от 23.08.2013 </w:t>
      </w:r>
      <w:hyperlink r:id="rId8" w:history="1">
        <w:r w:rsidRPr="00F7193E">
          <w:rPr>
            <w:rFonts w:ascii="Times New Roman" w:hAnsi="Times New Roman" w:cs="Times New Roman"/>
          </w:rPr>
          <w:t>№ 231</w:t>
        </w:r>
      </w:hyperlink>
      <w:r w:rsidRPr="00F7193E">
        <w:rPr>
          <w:rFonts w:ascii="Times New Roman" w:hAnsi="Times New Roman" w:cs="Times New Roman"/>
        </w:rPr>
        <w:t xml:space="preserve">, от 09.01.2014 </w:t>
      </w:r>
      <w:hyperlink r:id="rId9" w:history="1">
        <w:r w:rsidRPr="00F7193E">
          <w:rPr>
            <w:rFonts w:ascii="Times New Roman" w:hAnsi="Times New Roman" w:cs="Times New Roman"/>
          </w:rPr>
          <w:t>№ 2</w:t>
        </w:r>
      </w:hyperlink>
      <w:r w:rsidRPr="00F7193E">
        <w:rPr>
          <w:rFonts w:ascii="Times New Roman" w:hAnsi="Times New Roman" w:cs="Times New Roman"/>
        </w:rPr>
        <w:t>)</w:t>
      </w:r>
    </w:p>
    <w:p w:rsid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ind w:firstLine="540"/>
        <w:jc w:val="both"/>
        <w:rPr>
          <w:rFonts w:ascii="Times New Roman" w:hAnsi="Times New Roman" w:cs="Times New Roman"/>
        </w:rPr>
      </w:pPr>
      <w:r w:rsidRPr="00F7193E">
        <w:rPr>
          <w:rFonts w:ascii="Times New Roman" w:hAnsi="Times New Roman" w:cs="Times New Roman"/>
        </w:rPr>
        <w:t xml:space="preserve">В соответствии с Федеральным </w:t>
      </w:r>
      <w:hyperlink r:id="rId10" w:history="1">
        <w:r w:rsidRPr="00F7193E">
          <w:rPr>
            <w:rFonts w:ascii="Times New Roman" w:hAnsi="Times New Roman" w:cs="Times New Roman"/>
          </w:rPr>
          <w:t>законом</w:t>
        </w:r>
      </w:hyperlink>
      <w:r w:rsidRPr="00F7193E">
        <w:rPr>
          <w:rFonts w:ascii="Times New Roman" w:hAnsi="Times New Roman" w:cs="Times New Roman"/>
        </w:rPr>
        <w:t xml:space="preserve"> от 7 августа 2001 г. № 115-ФЗ "О противодействии легализации (отмыванию) доходов, полученных преступным путем, и финансированию терроризма" (Собрание законодательства Российской Федерации, 2001, № 33 (ч. I), ст. 3418; 2002, № 30, ст. 3029; № 44, ст. 4296; 2004, № 31, ст. 3224; 2005, № 47, ст. 4828; 2006, № 31 (ч. I), ст. 3446, ст. 3452; 2007, № 16, ст. 1831; № 31, ст. 3993, ст. 4011; № 49, ст. 6036; 2009, № 23, ст. 2776, № 29, ст. 3600; 2010, № 30, ст. 4007, № 3, ст. 4166; 2011, № 27, ст. 3873, № 46, ст. 6406; 2012, № 30, ст. 4172, № 50, ст. 6954; 2013, № 19, ст. 2320, № 26, ст. 3207) и </w:t>
      </w:r>
      <w:hyperlink r:id="rId11" w:history="1">
        <w:r w:rsidRPr="00F7193E">
          <w:rPr>
            <w:rFonts w:ascii="Times New Roman" w:hAnsi="Times New Roman" w:cs="Times New Roman"/>
          </w:rPr>
          <w:t>Требованиями</w:t>
        </w:r>
      </w:hyperlink>
      <w:r w:rsidRPr="00F7193E">
        <w:rPr>
          <w:rFonts w:ascii="Times New Roman" w:hAnsi="Times New Roman" w:cs="Times New Roman"/>
        </w:rPr>
        <w:t xml:space="preserve"> к правилам внутреннего контроля, разрабатываемым организациями, осуществляющими операции с денежными средствами или иным имуществом, в целях противодействия легализации (отмыванию) доходов, полученных преступным путем, и финансированию терроризма (за исключением кредитных организаций), утвержденными постановлением Правительства Российской Федерации от 30.06.2012 № 667 (Собрание законодательства Российской Федерации, 2012, № 28, ст. 3901), приказываю:</w:t>
      </w:r>
    </w:p>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(преамбула в ред. </w:t>
      </w:r>
      <w:hyperlink r:id="rId12" w:history="1">
        <w:r w:rsidRPr="00F7193E">
          <w:rPr>
            <w:rFonts w:ascii="Times New Roman" w:hAnsi="Times New Roman" w:cs="Times New Roman"/>
          </w:rPr>
          <w:t>Приказа</w:t>
        </w:r>
      </w:hyperlink>
      <w:r w:rsidRPr="00F7193E">
        <w:rPr>
          <w:rFonts w:ascii="Times New Roman" w:hAnsi="Times New Roman" w:cs="Times New Roman"/>
        </w:rPr>
        <w:t xml:space="preserve"> Росфинмониторинга от 23.08.2013 № 231)</w:t>
      </w:r>
    </w:p>
    <w:p w:rsidR="00F7193E" w:rsidRPr="00F7193E" w:rsidRDefault="00F7193E">
      <w:pPr>
        <w:spacing w:after="1" w:line="220" w:lineRule="atLeast"/>
        <w:ind w:firstLine="540"/>
        <w:jc w:val="both"/>
        <w:rPr>
          <w:rFonts w:ascii="Times New Roman" w:hAnsi="Times New Roman" w:cs="Times New Roman"/>
        </w:rPr>
      </w:pPr>
      <w:r w:rsidRPr="00F7193E">
        <w:rPr>
          <w:rFonts w:ascii="Times New Roman" w:hAnsi="Times New Roman" w:cs="Times New Roman"/>
        </w:rPr>
        <w:t xml:space="preserve">1. Утвердить прилагаемые </w:t>
      </w:r>
      <w:hyperlink w:anchor="P41" w:history="1">
        <w:r w:rsidRPr="00F7193E">
          <w:rPr>
            <w:rFonts w:ascii="Times New Roman" w:hAnsi="Times New Roman" w:cs="Times New Roman"/>
          </w:rPr>
          <w:t>Рекомендации</w:t>
        </w:r>
      </w:hyperlink>
      <w:r w:rsidRPr="00F7193E">
        <w:rPr>
          <w:rFonts w:ascii="Times New Roman" w:hAnsi="Times New Roman" w:cs="Times New Roman"/>
        </w:rPr>
        <w:t xml:space="preserve"> по разработке критериев выявления и определению признаков необычных сделок (далее - Рекомендации), согласованные с Федеральной службой по финансовым рынкам, Федеральным казенным учреждением "Российская государственная пробирная палата при Министерстве финансов Российской Федерации", Федеральной службой по надзору в сфере связи, информационных технологий и массовых коммуникаций.</w:t>
      </w:r>
    </w:p>
    <w:p w:rsidR="00F7193E" w:rsidRPr="00F7193E" w:rsidRDefault="00F7193E" w:rsidP="00F7193E">
      <w:pPr>
        <w:spacing w:after="1" w:line="220" w:lineRule="atLeast"/>
        <w:jc w:val="both"/>
        <w:rPr>
          <w:rFonts w:ascii="Times New Roman" w:hAnsi="Times New Roman" w:cs="Times New Roman"/>
          <w:sz w:val="2"/>
          <w:szCs w:val="2"/>
        </w:rPr>
      </w:pPr>
      <w:r w:rsidRPr="00F7193E">
        <w:rPr>
          <w:rFonts w:ascii="Times New Roman" w:hAnsi="Times New Roman" w:cs="Times New Roman"/>
        </w:rPr>
        <w:t xml:space="preserve">(в ред. </w:t>
      </w:r>
      <w:hyperlink r:id="rId13" w:history="1">
        <w:r w:rsidRPr="00F7193E">
          <w:rPr>
            <w:rFonts w:ascii="Times New Roman" w:hAnsi="Times New Roman" w:cs="Times New Roman"/>
          </w:rPr>
          <w:t>Приказа</w:t>
        </w:r>
      </w:hyperlink>
      <w:r w:rsidRPr="00F7193E">
        <w:rPr>
          <w:rFonts w:ascii="Times New Roman" w:hAnsi="Times New Roman" w:cs="Times New Roman"/>
        </w:rPr>
        <w:t xml:space="preserve"> Росфинмониторинга от 14.02.2012 № 43)</w:t>
      </w:r>
    </w:p>
    <w:p w:rsidR="00F7193E" w:rsidRPr="00F7193E" w:rsidRDefault="00F7193E">
      <w:pPr>
        <w:spacing w:after="1" w:line="220" w:lineRule="atLeast"/>
        <w:ind w:firstLine="540"/>
        <w:jc w:val="both"/>
        <w:rPr>
          <w:rFonts w:ascii="Times New Roman" w:hAnsi="Times New Roman" w:cs="Times New Roman"/>
        </w:rPr>
      </w:pPr>
      <w:r w:rsidRPr="00F7193E">
        <w:rPr>
          <w:rFonts w:ascii="Times New Roman" w:hAnsi="Times New Roman" w:cs="Times New Roman"/>
        </w:rPr>
        <w:t xml:space="preserve">2. Признать утратившими силу </w:t>
      </w:r>
      <w:hyperlink r:id="rId14" w:history="1">
        <w:r w:rsidRPr="00F7193E">
          <w:rPr>
            <w:rFonts w:ascii="Times New Roman" w:hAnsi="Times New Roman" w:cs="Times New Roman"/>
          </w:rPr>
          <w:t>приложения № 2</w:t>
        </w:r>
      </w:hyperlink>
      <w:r w:rsidRPr="00F7193E">
        <w:rPr>
          <w:rFonts w:ascii="Times New Roman" w:hAnsi="Times New Roman" w:cs="Times New Roman"/>
        </w:rPr>
        <w:t xml:space="preserve"> и </w:t>
      </w:r>
      <w:hyperlink r:id="rId15" w:history="1">
        <w:r w:rsidRPr="00F7193E">
          <w:rPr>
            <w:rFonts w:ascii="Times New Roman" w:hAnsi="Times New Roman" w:cs="Times New Roman"/>
          </w:rPr>
          <w:t>№ 3</w:t>
        </w:r>
      </w:hyperlink>
      <w:r w:rsidRPr="00F7193E">
        <w:rPr>
          <w:rFonts w:ascii="Times New Roman" w:hAnsi="Times New Roman" w:cs="Times New Roman"/>
        </w:rPr>
        <w:t xml:space="preserve"> к Рекомендациям по отдельным положениям правил внутреннего контроля, разрабатываемых организациями, совершающими операции с денежными средствами или иным имуществом, в целях противодействия легализации (отмыванию) доходов, полученных преступным путем, и финансированию терроризма, утвержденным Приказом Комитета Российской Федерации по финансовому мониторингу от 11.08.2003 № 104 (по заключению Министерства юстиции Российской Федерации от 28.08.2003 № 07/8796-ЮД указанный Приказ в государственной регистрации не нуждается).</w:t>
      </w: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jc w:val="right"/>
        <w:rPr>
          <w:rFonts w:ascii="Times New Roman" w:hAnsi="Times New Roman" w:cs="Times New Roman"/>
        </w:rPr>
      </w:pPr>
      <w:r w:rsidRPr="00F7193E">
        <w:rPr>
          <w:rFonts w:ascii="Times New Roman" w:hAnsi="Times New Roman" w:cs="Times New Roman"/>
        </w:rPr>
        <w:t>Руководитель</w:t>
      </w:r>
    </w:p>
    <w:p w:rsidR="00F7193E" w:rsidRPr="00F7193E" w:rsidRDefault="00F7193E">
      <w:pPr>
        <w:spacing w:after="1" w:line="220" w:lineRule="atLeast"/>
        <w:jc w:val="right"/>
        <w:rPr>
          <w:rFonts w:ascii="Times New Roman" w:hAnsi="Times New Roman" w:cs="Times New Roman"/>
        </w:rPr>
      </w:pPr>
      <w:r w:rsidRPr="00F7193E">
        <w:rPr>
          <w:rFonts w:ascii="Times New Roman" w:hAnsi="Times New Roman" w:cs="Times New Roman"/>
        </w:rPr>
        <w:t>Ю.А.ЧИХАНЧИН</w:t>
      </w:r>
    </w:p>
    <w:p w:rsidR="00F7193E" w:rsidRP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ind w:firstLine="540"/>
        <w:jc w:val="both"/>
        <w:rPr>
          <w:rFonts w:ascii="Times New Roman" w:hAnsi="Times New Roman" w:cs="Times New Roman"/>
        </w:rPr>
      </w:pPr>
      <w:bookmarkStart w:id="0" w:name="_GoBack"/>
      <w:bookmarkEnd w:id="0"/>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jc w:val="right"/>
        <w:outlineLvl w:val="0"/>
        <w:rPr>
          <w:rFonts w:ascii="Times New Roman" w:hAnsi="Times New Roman" w:cs="Times New Roman"/>
        </w:rPr>
      </w:pPr>
      <w:r w:rsidRPr="00F7193E">
        <w:rPr>
          <w:rFonts w:ascii="Times New Roman" w:hAnsi="Times New Roman" w:cs="Times New Roman"/>
        </w:rPr>
        <w:lastRenderedPageBreak/>
        <w:t>Утверждены</w:t>
      </w:r>
    </w:p>
    <w:p w:rsidR="00F7193E" w:rsidRPr="00F7193E" w:rsidRDefault="00F7193E">
      <w:pPr>
        <w:spacing w:after="1" w:line="220" w:lineRule="atLeast"/>
        <w:jc w:val="right"/>
        <w:rPr>
          <w:rFonts w:ascii="Times New Roman" w:hAnsi="Times New Roman" w:cs="Times New Roman"/>
        </w:rPr>
      </w:pPr>
      <w:r w:rsidRPr="00F7193E">
        <w:rPr>
          <w:rFonts w:ascii="Times New Roman" w:hAnsi="Times New Roman" w:cs="Times New Roman"/>
        </w:rPr>
        <w:t>Приказом Росфинмониторинга</w:t>
      </w:r>
    </w:p>
    <w:p w:rsidR="00F7193E" w:rsidRPr="00F7193E" w:rsidRDefault="00F7193E">
      <w:pPr>
        <w:spacing w:after="1" w:line="220" w:lineRule="atLeast"/>
        <w:jc w:val="right"/>
        <w:rPr>
          <w:rFonts w:ascii="Times New Roman" w:hAnsi="Times New Roman" w:cs="Times New Roman"/>
        </w:rPr>
      </w:pPr>
      <w:r w:rsidRPr="00F7193E">
        <w:rPr>
          <w:rFonts w:ascii="Times New Roman" w:hAnsi="Times New Roman" w:cs="Times New Roman"/>
        </w:rPr>
        <w:t>от 08.05.2009 № 103</w:t>
      </w: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jc w:val="center"/>
        <w:rPr>
          <w:rFonts w:ascii="Times New Roman" w:hAnsi="Times New Roman" w:cs="Times New Roman"/>
        </w:rPr>
      </w:pPr>
      <w:bookmarkStart w:id="1" w:name="P41"/>
      <w:bookmarkEnd w:id="1"/>
      <w:r w:rsidRPr="00F7193E">
        <w:rPr>
          <w:rFonts w:ascii="Times New Roman" w:hAnsi="Times New Roman" w:cs="Times New Roman"/>
          <w:b/>
        </w:rPr>
        <w:t>РЕКОМЕНДАЦИИ</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b/>
        </w:rPr>
        <w:t>ПО РАЗРАБОТКЕ КРИТЕРИЕВ ВЫЯВЛЕНИЯ И ОПРЕДЕЛЕНИЮ ПРИЗНАКОВ</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b/>
        </w:rPr>
        <w:t>НЕОБЫЧНЫХ СДЕЛОК</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Список изменяющих документов</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 xml:space="preserve">(в ред. Приказов Росфинмониторинга от 23.08.2013 </w:t>
      </w:r>
      <w:hyperlink r:id="rId16" w:history="1">
        <w:r w:rsidRPr="00F7193E">
          <w:rPr>
            <w:rFonts w:ascii="Times New Roman" w:hAnsi="Times New Roman" w:cs="Times New Roman"/>
          </w:rPr>
          <w:t>№ 231</w:t>
        </w:r>
      </w:hyperlink>
      <w:r w:rsidRPr="00F7193E">
        <w:rPr>
          <w:rFonts w:ascii="Times New Roman" w:hAnsi="Times New Roman" w:cs="Times New Roman"/>
        </w:rPr>
        <w:t>,</w:t>
      </w:r>
    </w:p>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 xml:space="preserve">от 09.01.2014 </w:t>
      </w:r>
      <w:hyperlink r:id="rId17" w:history="1">
        <w:r w:rsidRPr="00F7193E">
          <w:rPr>
            <w:rFonts w:ascii="Times New Roman" w:hAnsi="Times New Roman" w:cs="Times New Roman"/>
          </w:rPr>
          <w:t>№ 2</w:t>
        </w:r>
      </w:hyperlink>
      <w:r w:rsidRPr="00F7193E">
        <w:rPr>
          <w:rFonts w:ascii="Times New Roman" w:hAnsi="Times New Roman" w:cs="Times New Roman"/>
        </w:rPr>
        <w:t>)</w:t>
      </w: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ind w:firstLine="540"/>
        <w:jc w:val="both"/>
        <w:rPr>
          <w:rFonts w:ascii="Times New Roman" w:hAnsi="Times New Roman" w:cs="Times New Roman"/>
        </w:rPr>
      </w:pPr>
      <w:r w:rsidRPr="00F7193E">
        <w:rPr>
          <w:rFonts w:ascii="Times New Roman" w:hAnsi="Times New Roman" w:cs="Times New Roman"/>
        </w:rPr>
        <w:t xml:space="preserve">Настоящие Рекомендации по разработке критериев выявления и определению признаков необычных сделок (далее - критерии и признаки необычных сделок) разработаны Федеральной службой по финансовому мониторингу в целях создания единого эффективного механизма противодействия легализации (отмыванию) доходов, полученных преступным путем, и финансированию терроризма, организациями, осуществляющими операции с денежными средствами или иным имуществом (за исключением кредитных организаций), индивидуальными предпринимателями, перечисленными в </w:t>
      </w:r>
      <w:hyperlink r:id="rId18" w:history="1">
        <w:r w:rsidRPr="00F7193E">
          <w:rPr>
            <w:rFonts w:ascii="Times New Roman" w:hAnsi="Times New Roman" w:cs="Times New Roman"/>
          </w:rPr>
          <w:t>статье 5</w:t>
        </w:r>
      </w:hyperlink>
      <w:r w:rsidRPr="00F7193E">
        <w:rPr>
          <w:rFonts w:ascii="Times New Roman" w:hAnsi="Times New Roman" w:cs="Times New Roman"/>
        </w:rPr>
        <w:t xml:space="preserve"> Федерального закона от 7 августа 2001 г. № 115-ФЗ "О противодействии легализации (отмыванию) доходов, полученных преступным путем, и финансированию терроризма" (далее - Федеральный закон, организации), а также иными лицами, указанными в </w:t>
      </w:r>
      <w:hyperlink r:id="rId19" w:history="1">
        <w:r w:rsidRPr="00F7193E">
          <w:rPr>
            <w:rFonts w:ascii="Times New Roman" w:hAnsi="Times New Roman" w:cs="Times New Roman"/>
          </w:rPr>
          <w:t>статье 7.1</w:t>
        </w:r>
      </w:hyperlink>
      <w:r w:rsidRPr="00F7193E">
        <w:rPr>
          <w:rFonts w:ascii="Times New Roman" w:hAnsi="Times New Roman" w:cs="Times New Roman"/>
        </w:rPr>
        <w:t xml:space="preserve"> Федерального закона (далее - иные лица).</w:t>
      </w:r>
    </w:p>
    <w:p w:rsidR="00F7193E" w:rsidRPr="00F7193E" w:rsidRDefault="00F7193E">
      <w:pPr>
        <w:spacing w:after="1" w:line="220" w:lineRule="atLeast"/>
        <w:ind w:firstLine="540"/>
        <w:jc w:val="both"/>
        <w:rPr>
          <w:rFonts w:ascii="Times New Roman" w:hAnsi="Times New Roman" w:cs="Times New Roman"/>
        </w:rPr>
      </w:pPr>
      <w:r w:rsidRPr="00F7193E">
        <w:rPr>
          <w:rFonts w:ascii="Times New Roman" w:hAnsi="Times New Roman" w:cs="Times New Roman"/>
        </w:rPr>
        <w:t>Организациям и иным лицам рекомендуется включать критерии и признаки необычных сделок в программу выявления операций (сделок), подлежащих обязательному контролю, и операций (сделок), имеющих признаки связи с легализацией (отмыванием) доходов, полученных преступным путем, или финансированием терроризма, разрабатываемую в составе правил внутреннего контроля, в целях определения, оценки и принятия мер по снижению собственных рисков возможного вовлечения в процессы отмывания преступных доходов и финансирования терроризма, а также выявления операций (сделок),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w:t>
      </w:r>
    </w:p>
    <w:p w:rsidR="00F7193E" w:rsidRPr="00F7193E" w:rsidRDefault="00F7193E">
      <w:pPr>
        <w:spacing w:after="1" w:line="220" w:lineRule="atLeast"/>
        <w:ind w:firstLine="540"/>
        <w:jc w:val="both"/>
        <w:rPr>
          <w:rFonts w:ascii="Times New Roman" w:hAnsi="Times New Roman" w:cs="Times New Roman"/>
        </w:rPr>
      </w:pPr>
      <w:r w:rsidRPr="00F7193E">
        <w:rPr>
          <w:rFonts w:ascii="Times New Roman" w:hAnsi="Times New Roman" w:cs="Times New Roman"/>
        </w:rPr>
        <w:t>Помимо критериев выявления и признаков необычных сделок, перечисленных в настоящих Рекомендациях, при разработке правил внутреннего контроля вышеуказанными организациями (иными лицами) могут использоваться иные критерии выявления и признаки необычных сделок, разработанные с учетом особенностей деятельности конкретной организации (иного лица).</w:t>
      </w: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rPr>
          <w:rFonts w:ascii="Times New Roman" w:hAnsi="Times New Roman" w:cs="Times New Roman"/>
        </w:rPr>
        <w:sectPr w:rsidR="00F7193E" w:rsidRPr="00F7193E" w:rsidSect="00C111A3">
          <w:pgSz w:w="11905" w:h="16838"/>
          <w:pgMar w:top="1134" w:right="850" w:bottom="1134" w:left="1701" w:header="0" w:footer="0" w:gutter="0"/>
          <w:cols w:space="720"/>
          <w:noEndnote/>
        </w:sectPr>
      </w:pPr>
    </w:p>
    <w:p w:rsidR="00F7193E" w:rsidRPr="00F7193E" w:rsidRDefault="00F7193E">
      <w:pPr>
        <w:spacing w:after="1" w:line="220" w:lineRule="atLeast"/>
        <w:jc w:val="center"/>
        <w:rPr>
          <w:rFonts w:ascii="Times New Roman" w:hAnsi="Times New Roman" w:cs="Times New Roman"/>
        </w:rPr>
      </w:pPr>
    </w:p>
    <w:p w:rsidR="00F7193E" w:rsidRPr="00F7193E" w:rsidRDefault="00F7193E">
      <w:pPr>
        <w:spacing w:after="1" w:line="220" w:lineRule="atLeast"/>
        <w:jc w:val="center"/>
        <w:outlineLvl w:val="1"/>
        <w:rPr>
          <w:rFonts w:ascii="Times New Roman" w:hAnsi="Times New Roman" w:cs="Times New Roman"/>
        </w:rPr>
      </w:pPr>
      <w:r w:rsidRPr="00F7193E">
        <w:rPr>
          <w:rFonts w:ascii="Times New Roman" w:hAnsi="Times New Roman" w:cs="Times New Roman"/>
        </w:rPr>
        <w:t>КРИТЕРИИ И ПРИЗНАКИ НЕОБЫЧНЫХ СДЕЛОК</w:t>
      </w:r>
    </w:p>
    <w:p w:rsidR="00F7193E" w:rsidRPr="00F7193E" w:rsidRDefault="00F7193E">
      <w:pPr>
        <w:spacing w:after="1" w:line="220" w:lineRule="atLeast"/>
        <w:ind w:firstLine="540"/>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9"/>
        <w:gridCol w:w="1091"/>
        <w:gridCol w:w="7619"/>
      </w:tblGrid>
      <w:tr w:rsidR="00F7193E" w:rsidRPr="00F7193E">
        <w:tc>
          <w:tcPr>
            <w:tcW w:w="989" w:type="dxa"/>
          </w:tcPr>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 xml:space="preserve">Код группы </w:t>
            </w:r>
            <w:hyperlink w:anchor="P807" w:history="1">
              <w:r w:rsidRPr="00F7193E">
                <w:rPr>
                  <w:rFonts w:ascii="Times New Roman" w:hAnsi="Times New Roman" w:cs="Times New Roman"/>
                </w:rPr>
                <w:t>&lt;1&gt;</w:t>
              </w:r>
            </w:hyperlink>
          </w:p>
        </w:tc>
        <w:tc>
          <w:tcPr>
            <w:tcW w:w="1091" w:type="dxa"/>
          </w:tcPr>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 xml:space="preserve">Код критерия/ признака </w:t>
            </w:r>
            <w:hyperlink w:anchor="P812" w:history="1">
              <w:r w:rsidRPr="00F7193E">
                <w:rPr>
                  <w:rFonts w:ascii="Times New Roman" w:hAnsi="Times New Roman" w:cs="Times New Roman"/>
                </w:rPr>
                <w:t>&lt;2&gt;</w:t>
              </w:r>
            </w:hyperlink>
          </w:p>
        </w:tc>
        <w:tc>
          <w:tcPr>
            <w:tcW w:w="7619" w:type="dxa"/>
          </w:tcPr>
          <w:p w:rsidR="00F7193E" w:rsidRPr="00F7193E" w:rsidRDefault="00F7193E">
            <w:pPr>
              <w:spacing w:after="1" w:line="220" w:lineRule="atLeast"/>
              <w:jc w:val="center"/>
              <w:rPr>
                <w:rFonts w:ascii="Times New Roman" w:hAnsi="Times New Roman" w:cs="Times New Roman"/>
              </w:rPr>
            </w:pPr>
            <w:r w:rsidRPr="00F7193E">
              <w:rPr>
                <w:rFonts w:ascii="Times New Roman" w:hAnsi="Times New Roman" w:cs="Times New Roman"/>
              </w:rPr>
              <w:t>Описание критерия или признака</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bookmarkStart w:id="2" w:name="P57"/>
            <w:bookmarkEnd w:id="2"/>
            <w:r w:rsidRPr="00F7193E">
              <w:rPr>
                <w:rFonts w:ascii="Times New Roman" w:hAnsi="Times New Roman" w:cs="Times New Roman"/>
              </w:rPr>
              <w:t>11</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Общие критерии необычных сделок</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Запутанный или необычный характер сделки, не имеющей очевидного экономического смысла или очевидной законной цели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Несоответствие сделки целям деятельности организации, установленным учредительными документами этой организации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Неоднократное совершение операций или сделок, характер которых дает основание полагать, что целью их осуществления является уклонение от процедур обязательного контроля, предусмотренных Федеральным </w:t>
            </w:r>
            <w:hyperlink r:id="rId20" w:history="1">
              <w:r w:rsidRPr="00F7193E">
                <w:rPr>
                  <w:rFonts w:ascii="Times New Roman" w:hAnsi="Times New Roman" w:cs="Times New Roman"/>
                </w:rPr>
                <w:t>законом</w:t>
              </w:r>
            </w:hyperlink>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Отказ клиента (представителя клиента) в предоставлении запрошенных организацией документов и информации, которые необходимы организации для выполнения требований законодательства в сфере противодействия легализации (отмыванию) доходов, полученных преступным путем, и финансированию терроризма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Излишняя озабоченность клиента (представителя клиента) вопросами конфиденциальности в отношении осуществляемой операции (сделки), в том числе раскрытия информации государственным органам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Пренебрежение клиентом (представителем клиента) более выгодными условиями получения услуг (тарифом комиссионного вознаграждения и т.д.), а также предложение клиентом (представителем клиента) необычно высокой комиссии или комиссии, заведомо отличающейся от обычно взимаемой комиссии при оказании такого рода услуг</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Наличие нестандартных или необычно сложных схем (инструкций) по порядку проведения расчетов, отличающихся от обычной практики, используемой данным клиентом (представителем клиента), или от обычной рыночной практики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Необоснованная поспешность в проведении операции, на которой настаивает клиент (представитель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Внесение клиентом (представителем клиента) в ранее согласованную схему операции (сделки) непосредственно перед началом ее реализации значительных изменений, особенно касающихся направления движения денежных средств или иного имущества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Передача клиентом поручения об осуществлении операции через представителя (посредника), если представитель (посредник) выполняет поручение клиента без вступления в прямой (личный) контакт с организацией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Явное несоответствие операций, проводимых клиентом (представителем клиента) с участием организации, общепринятой рыночной практике совершения операций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Отсутствие информации о клиенте - юридическом лице, индивидуальном предпринимателе в официальных справочных изданиях, либо невозможность осуществления связи с клиентом по указанным им адресам и телефонам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Сложности, возникающие у организации при проверке представляемых клиентом сведений, неоправданные задержки в предоставлении клиентом документов и информации, предоставление клиентом информации, которую невозможно проверить</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является иностранным публичным должностным лицом, либо должностным лицом публичной международной организации, либо действует в интересах (к выгоде) иностранного публичного должностного лица, либо является супругом, близким родственником (родственником по прямой восходящей и нисходящей линии (родителем и ребенком, дедушкой, бабушкой, внуком, внучкой), полнородным и </w:t>
            </w:r>
            <w:proofErr w:type="spellStart"/>
            <w:r w:rsidRPr="00F7193E">
              <w:rPr>
                <w:rFonts w:ascii="Times New Roman" w:hAnsi="Times New Roman" w:cs="Times New Roman"/>
              </w:rPr>
              <w:t>неполнородным</w:t>
            </w:r>
            <w:proofErr w:type="spellEnd"/>
            <w:r w:rsidRPr="00F7193E">
              <w:rPr>
                <w:rFonts w:ascii="Times New Roman" w:hAnsi="Times New Roman" w:cs="Times New Roman"/>
              </w:rPr>
              <w:t xml:space="preserve"> (имеющим общих отца или мать) братом и </w:t>
            </w:r>
            <w:r w:rsidRPr="00F7193E">
              <w:rPr>
                <w:rFonts w:ascii="Times New Roman" w:hAnsi="Times New Roman" w:cs="Times New Roman"/>
              </w:rPr>
              <w:lastRenderedPageBreak/>
              <w:t>сестрой, усыновителем и усыновленным) иностранного публичного должностного лица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представитель клиента действуют от имени (в интересах) некоммерческих организаций </w:t>
            </w:r>
            <w:hyperlink w:anchor="P813" w:history="1">
              <w:r w:rsidRPr="00F7193E">
                <w:rPr>
                  <w:rFonts w:ascii="Times New Roman" w:hAnsi="Times New Roman" w:cs="Times New Roman"/>
                </w:rPr>
                <w:t>&lt;3&gt;</w:t>
              </w:r>
            </w:hyperlink>
            <w:r w:rsidRPr="00F7193E">
              <w:rPr>
                <w:rFonts w:ascii="Times New Roman" w:hAnsi="Times New Roman" w:cs="Times New Roman"/>
              </w:rPr>
              <w:t xml:space="preserve">, иностранных некоммерческих неправительственных организаций и их отделений, представительств и филиалов, осуществляющих свою деятельность на территории Российской Федерации, в случае, если такая операция (сделка) не подлежит обязательному контролю в соответствии с </w:t>
            </w:r>
            <w:hyperlink r:id="rId21" w:history="1">
              <w:r w:rsidRPr="00F7193E">
                <w:rPr>
                  <w:rFonts w:ascii="Times New Roman" w:hAnsi="Times New Roman" w:cs="Times New Roman"/>
                </w:rPr>
                <w:t>п. 1.2 статьи 6</w:t>
              </w:r>
            </w:hyperlink>
            <w:r w:rsidRPr="00F7193E">
              <w:rPr>
                <w:rFonts w:ascii="Times New Roman" w:hAnsi="Times New Roman" w:cs="Times New Roman"/>
              </w:rPr>
              <w:t xml:space="preserve"> Федерального закона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1119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операции (сделки) в случае, когда клиент или представитель клиента, выгодоприобретатель, учредитель юридического лица является руководителем или учредителем некоммерческой организации, иностранной некоммерческой неправительственной организации, ее отделения, филиала или представительства, осуществляющих свою деятельность на территории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1120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операций (сделок), предметом которых являются предметы искусства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1122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является некоммерческой организацией, иностранной некоммерческой неправительственной организацией и ее отделением, представительством и филиалом, осуществляющим свою деятельность на территории Российской Федерации, и такая операция (сделка) не подлежит обязательному контролю в соответствии с </w:t>
            </w:r>
            <w:hyperlink r:id="rId22" w:history="1">
              <w:r w:rsidRPr="00F7193E">
                <w:rPr>
                  <w:rFonts w:ascii="Times New Roman" w:hAnsi="Times New Roman" w:cs="Times New Roman"/>
                </w:rPr>
                <w:t>п. 1.2 статьи 6</w:t>
              </w:r>
            </w:hyperlink>
            <w:r w:rsidRPr="00F7193E">
              <w:rPr>
                <w:rFonts w:ascii="Times New Roman" w:hAnsi="Times New Roman" w:cs="Times New Roman"/>
              </w:rPr>
              <w:t xml:space="preserve"> Федерального закона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1123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клиентом, в отношении которого уполномоченным органом в организацию направлен либо ранее направлялся запрос, предусмотренный </w:t>
            </w:r>
            <w:hyperlink r:id="rId23" w:history="1">
              <w:r w:rsidRPr="00F7193E">
                <w:rPr>
                  <w:rFonts w:ascii="Times New Roman" w:hAnsi="Times New Roman" w:cs="Times New Roman"/>
                </w:rPr>
                <w:t>подпунктом 5 пункта 1 статьи 7</w:t>
              </w:r>
            </w:hyperlink>
            <w:r w:rsidRPr="00F7193E">
              <w:rPr>
                <w:rFonts w:ascii="Times New Roman" w:hAnsi="Times New Roman" w:cs="Times New Roman"/>
              </w:rPr>
              <w:t xml:space="preserve"> Федерального закона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1124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Отказ клиента от совершения разовой операции, в отношении которой у работников организации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1179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операции (сделки) в случае, когда клиент является лицом, замещающим (занимающим) государственную должность Российской Федерации, должность членов Совета директоров Центрального банка Российской Федерации, должность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Поручение клиента осуществить возврат ранее перечисленных денежных средств в течение короткого промежутка времени на счет клиента, отличный от счета, с которого данные денежные средства были ранее зачислены, в том числе на счет в банк-нерезидент, либо на свой счет в банке, отличном от банка, из которого первоначально поступили средства для проведения данной сделки, либо на счет третьего лица, не являющегося стороной по сделке, в том числе при досрочном расторжении договора (сделки)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Поручение клиента перечислить полученные по операции (сделке) денежные средства на счет клиента, отличный от счета, указанного в договоре, в том числе на счет в банк- нерезидент, либо на свой счет в банке, отличном от банка, из которого первоначально поступили средства для проведения данной сделки, либо на счет третьего лица, не являющегося стороной по сделке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Поручение клиента осуществить возврат в наличной форме ранее перечисленных денежных средств в течение короткого промежутка времени с момента их перечисления (либо заключения договора (сделки)), в том числе при досрочном расторжении договора (сделки), клиенту или третьему лицу</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Получение денежных средств от клиента - юридического лица, в состав учредителей которого входят благотворительные организации и/или фонды или иные виды некоммерческих организаций с долей участия в уставном капитале такого лица, позволяющей прямо или косвенно оказывать влияние на решения, принимаемые указанным юридическим лицом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Получение денежных средств от клиента в случае, если имеются основания полагать, что клиент является получателем грантов или иных видов безвозмездной финансовой помощи от иностранных некоммерческих неправительственных организаций и/или их представительств и филиалов, осуществляющих свою деятельность на территории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операций с использованием дистанционных систем обслуживания, в случае, если возникает подозрение, что такими системами пользуется третье лицо, а не сам клиент (представитель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Немотивированное требование клиента о расторжении договора и/или возврате уплаченных клиентом денежных средств до фактического осуществления операции (сделки)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Существенное отклонение суммы операции (сделки) относительно действующих рыночных цен, в том числе по настоянию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Отсутствие очевидной связи между характером и родом деятельности клиента с услугами, за которыми клиент обращается к организации, осуществляющей операции с денежными средствами или иным имуществом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1189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операций (сделок) с юридическим лицом или индивидуальным предпринимателем, период деятельности которых с даты государственной регистрации составляет менее 1 года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1191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Операция по получению или предоставлению безвозмездной финансовой помощи на сумму, не превышающую 600 000 рублей либо ее эквивалента в иностранной валюте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1192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операции (сделки) в интересах клиента, период деятельности которого с момента государственной регистрации не превышает 3 месяцев, при этом клиент имеет незначительный размер уставного капитала по сравнению с суммой операции (сделки), которую намеревается совершить</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1193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Использование клиентом счетов, открытых в различных кредитных организациях, для расчетов в рамках одного договора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1194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Осуществление расчетов между сторонами сделки с использованием расчетных счетов третьих лиц</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1195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Многократное внесение учредителями (руководителями) денежных средств для пополнения оборотных средств организации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1199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критерии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12</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с использованием бюджетных средств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1290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операции (сделки) по поручению клиента в случае, когда клиент, учредитель или выгодоприобретатель является участником федеральных, региональных либо муниципальных целевых программ или национальных проектов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1291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по поручению клиента в случае, если имеются основания полагать, что клиент, учредитель,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или выгодоприобретатель является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1292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по поручению клиента, являющегося исполнителем (подрядчиком или субподрядчиком) по государственному или муниципальному контракту на поставку товаров, выполнение работ, оказание услуг, либо по гражданско- правовому договору с бюджетным учреждением на поставку товаров, выполнение работ, оказание услуг (если сумма такого контракта составляет или превышает 6 000 000 руб.) </w:t>
            </w:r>
            <w:hyperlink w:anchor="P814" w:history="1">
              <w:r w:rsidRPr="00F7193E">
                <w:rPr>
                  <w:rFonts w:ascii="Times New Roman" w:hAnsi="Times New Roman" w:cs="Times New Roman"/>
                </w:rPr>
                <w:t>&lt;4&gt;</w:t>
              </w:r>
            </w:hyperlink>
            <w:r w:rsidRPr="00F7193E">
              <w:rPr>
                <w:rFonts w:ascii="Times New Roman" w:hAnsi="Times New Roman" w:cs="Times New Roman"/>
              </w:rPr>
              <w:t>, при этом такой клиент имеет незначительный размер уставного капитала по сравнению с суммой операции (сделки), которую намеревается совершить, и период его деятельности не превышает 6 месяцев с даты государственной регистрации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1299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13</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основанные на стране регистрации, места жительства или места нахождения клиента, его контрагента, представителя клиента, выгодоприобретателя и (или) его учредителя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1301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его контрагент, представитель клиента,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выгодоприобретатель или учредитель клиента зарегистрирован в государстве (на территории) с высокой террористической или экстремистской активностью</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1302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его контрагент, представитель клиента,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выгодоприобретатель или учредитель клиента зарегистрирован в государстве (на территории), в отношении которого (которой) применяются международные санкции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1303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его контрагент, представитель клиента,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выгодоприобретатель, учредитель клиента - юридического лица или зарегистрирован в государстве (на территории), в отношении которого (которой) применяются специальные экономические меры в соответствии с Федеральным </w:t>
            </w:r>
            <w:hyperlink r:id="rId24" w:history="1">
              <w:r w:rsidRPr="00F7193E">
                <w:rPr>
                  <w:rFonts w:ascii="Times New Roman" w:hAnsi="Times New Roman" w:cs="Times New Roman"/>
                </w:rPr>
                <w:t>законом</w:t>
              </w:r>
            </w:hyperlink>
            <w:r w:rsidRPr="00F7193E">
              <w:rPr>
                <w:rFonts w:ascii="Times New Roman" w:hAnsi="Times New Roman" w:cs="Times New Roman"/>
              </w:rPr>
              <w:t xml:space="preserve"> от 30 декабря 2006 г. № 281-ФЗ "О специальных экономических мерах" (Собрание законодательства Российской Федерации, 2007, № 1, ст. 44)</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1304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на сумму менее 600 000 рублей либо ее эквивалента в иностранной валюте в случае, когда клиент, его контрагент, представитель клиента,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выгодоприобретатель или учредитель клиента - юридического лица имеет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с использованием счета в банке, зарегистрированном в указанном государстве (на указанной территории)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1305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его контрагент, представитель клиента,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выгодоприобретатель или учредитель клиента - юридического лица зарегистрирован в государстве (на территории), отнесенном (отнесенной) международными организациями (включая международные неправительственные организации) к государствам (территориям) с повышенным уровнем коррупции и (или) другой преступной деятельности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1390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операции (сделки) в случае, когда клиент, его контрагент, представитель клиента,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выгодоприобретатель или учредитель клиента зарегистрирован в государстве или на территории, предоставляющем(щей) льготный режим налогообложения и (или) не предусматривающем(щей) раскрытия и предоставления информации при проведении финансовых операций (офшорной зоне) либо его счет открыт в банке, зарегистрированном в указанном государстве или на указанной территории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1399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14</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при проведении операций с денежными средствами или иным имуществом в наличной форме и переводов денежных средств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1404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Перевод денежных средств на анонимный (номерной) счет (во вклад) за границу и поступление денежных средств с анонимного (номерного) счета (вклада) из-за границы на сумму менее 600 000 рублей либо ее эквивалента в иностранной валюте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1490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Настаивание клиента на проведении расчетов наличными денежными средствами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1491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Регулярное получение клиентом денежных средств, причитающихся по операции (сделке), в наличной форме по инициативе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1492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операции (сделки) на сумму, равную или превышающую 600 000 рублей либо ее эквивалента в иностранной валюте по внесению или выдаче денежных средств в наличной форме, участниками которых являются нерезиденты, имеющие регистрацию, место жительства или место нахождения в государстве Таможенного союза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1499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15</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при проведении операций по договорам займа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1590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Предоставление или получение займа, процентная ставка по которому ниже ставки рефинансирования, устанавливаемой Банком России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1591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Получение займа от нерезидента и (или) предоставление займа нерезиденту</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1599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18</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при проведении международных расчетов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1802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Уплата резидентом нерезиденту неустойки (пени, штрафа) за неисполнение договора поставки товаров (выполнения работ, оказания услуг) или за нарушение условий такого договора, если размер неустойки (пени, штрафа) превышает десять процентов от суммы </w:t>
            </w:r>
            <w:proofErr w:type="spellStart"/>
            <w:r w:rsidRPr="00F7193E">
              <w:rPr>
                <w:rFonts w:ascii="Times New Roman" w:hAnsi="Times New Roman" w:cs="Times New Roman"/>
              </w:rPr>
              <w:t>непоставленных</w:t>
            </w:r>
            <w:proofErr w:type="spellEnd"/>
            <w:r w:rsidRPr="00F7193E">
              <w:rPr>
                <w:rFonts w:ascii="Times New Roman" w:hAnsi="Times New Roman" w:cs="Times New Roman"/>
              </w:rPr>
              <w:t xml:space="preserve"> товаров (невыполненных работ, </w:t>
            </w:r>
            <w:proofErr w:type="spellStart"/>
            <w:r w:rsidRPr="00F7193E">
              <w:rPr>
                <w:rFonts w:ascii="Times New Roman" w:hAnsi="Times New Roman" w:cs="Times New Roman"/>
              </w:rPr>
              <w:t>неоказанных</w:t>
            </w:r>
            <w:proofErr w:type="spellEnd"/>
            <w:r w:rsidRPr="00F7193E">
              <w:rPr>
                <w:rFonts w:ascii="Times New Roman" w:hAnsi="Times New Roman" w:cs="Times New Roman"/>
              </w:rPr>
              <w:t xml:space="preserve"> услуг)</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1804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 договоре (контракте) предусмотрены экспорт резидентом товаров (работ, услуг), либо платежи по импорту товаров (работ, услуг) в пользу нерезидента, зарегистрированного в государстве или на территории, предоставляющем(щей) льготный режим налогообложения и (или) не предусматривающем(щей) раскрытия и предоставления информации при проведении финансовых операций (офшорной зоне)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1881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Получателем денежных средств либо товаров (работ, услуг) является нерезидент, не являющийся стороной по договору (контракту), предусматривающему импорт (экспорт) резидентом товаров (работ, услуг)</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1882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Перечисление денежных средств в адрес нерезидента по внешнеторговым сделкам, связанным с оказанием информационно-консультативных и маркетинговых услуг, передачей результатов интеллектуальной деятельности, в том числе исключительных прав на них, и других видов услуг нематериального характера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1899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19</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при проведении операций с ценными бумагами и производными финансовыми инструментами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1990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операций с ценными бумагами, необеспеченными активами своих эмитентов, а также векселями, выданными юридическими лицами, имеющими минимальный уставный капитал, при условии, что период деятельности таких лиц менее одного года с даты государственной регистрации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1991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физическим лицом ценных бумаг за наличный расчет на сумму, не превышающую 600 000 рублей либо ее эквивалент в иностранной валюте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1999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bookmarkStart w:id="3" w:name="P270"/>
            <w:bookmarkEnd w:id="3"/>
            <w:r w:rsidRPr="00F7193E">
              <w:rPr>
                <w:rFonts w:ascii="Times New Roman" w:hAnsi="Times New Roman" w:cs="Times New Roman"/>
              </w:rPr>
              <w:t>22</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свидетельствующих о возможном финансировании терроризма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Адрес регистрации (места нахождения или места жительства) клиента, представителя клиента, </w:t>
            </w:r>
            <w:proofErr w:type="spellStart"/>
            <w:r w:rsidRPr="00F7193E">
              <w:rPr>
                <w:rFonts w:ascii="Times New Roman" w:hAnsi="Times New Roman" w:cs="Times New Roman"/>
              </w:rPr>
              <w:t>бенефициарного</w:t>
            </w:r>
            <w:proofErr w:type="spellEnd"/>
            <w:r w:rsidRPr="00F7193E">
              <w:rPr>
                <w:rFonts w:ascii="Times New Roman" w:hAnsi="Times New Roman" w:cs="Times New Roman"/>
              </w:rPr>
              <w:t xml:space="preserve"> владельца, выгодоприобретателя или учредителя клиента - юридического лица совпадает с адресом регистрации (места нахождения или места жительства) лица, включенного в Перечень организаций и физических лиц, в отношении которого имеются сведения об их причастности к экстремистской деятельности или терроризму (далее - Перечень) </w:t>
            </w:r>
            <w:hyperlink w:anchor="P815" w:history="1">
              <w:r w:rsidRPr="00F7193E">
                <w:rPr>
                  <w:rFonts w:ascii="Times New Roman" w:hAnsi="Times New Roman" w:cs="Times New Roman"/>
                </w:rPr>
                <w:t>&lt;5&gt;</w:t>
              </w:r>
            </w:hyperlink>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Клиент, представитель клиента, </w:t>
            </w:r>
            <w:proofErr w:type="spellStart"/>
            <w:r w:rsidRPr="00F7193E">
              <w:rPr>
                <w:rFonts w:ascii="Times New Roman" w:hAnsi="Times New Roman" w:cs="Times New Roman"/>
              </w:rPr>
              <w:t>бенефициарный</w:t>
            </w:r>
            <w:proofErr w:type="spellEnd"/>
            <w:r w:rsidRPr="00F7193E">
              <w:rPr>
                <w:rFonts w:ascii="Times New Roman" w:hAnsi="Times New Roman" w:cs="Times New Roman"/>
              </w:rPr>
              <w:t xml:space="preserve"> владелец, выгодоприобретатель или учредитель клиента - юридического лица является близким родственником лица, включенного в Перечень</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Операция (сделка) с денежными средствами или иным имуществом, совершенная лицом, вновь включенным в Перечень, в период между днем исключения его из Перечня и днем повторного включения в Перечень</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Операция (сделка) с денежными средствами или иным имуществом связана с изготовлением, переработкой, транспортировкой, хранением или реализацией ядерных материалов, радиоактивных веществ и отходов, других химических веществ, бактериологических материалов, оружия, боеприпасов, комплектующих к ним, взрывчатых веществ и другой продукции (товаров), запрещенных или ограниченных к свободному обороту, если это не обусловлено хозяйственной деятельностью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Операция (сделка) с денежными средствами или иным имуществом связана с приобретением или продажей военного обмундирования, средств связи, лекарственных средств, продуктов длительного хранения, если это не обусловлено хозяйственной деятельностью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Операция (сделка) с денежными средствами или иным имуществом при осуществлении внешнеэкономической деятельности связана с приобретением и (или) продажей ядовитых и сильнодействующих веществ, если это не обусловлено хозяйственной деятельностью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Операции по расходованию денежных средств российскими общественными организациями и объединениями (религиозными организациями, политическими партиями, организациями, объединениями) и фондами, не соответствующие целям, предусмотренным их уставными (учредительными) документами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Операции по расходованию денежных средств российскими филиалами и представительствами иностранных некоммерческих неправительственных организаций, не соответствующие заявленным целям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2290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Фамилия, имя, отчество и дата рождения клиента, представителя клиента, выгодоприобретателя или учредителя клиента - физического лица совпадает с фамилией, именем, отчеством и датой рождения лица, включенного в Перечень (при несовпадении паспортных данных и/или адреса места регистрации или места жительства)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2299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bookmarkStart w:id="4" w:name="P303"/>
            <w:bookmarkEnd w:id="4"/>
            <w:r w:rsidRPr="00F7193E">
              <w:rPr>
                <w:rFonts w:ascii="Times New Roman" w:hAnsi="Times New Roman" w:cs="Times New Roman"/>
              </w:rPr>
              <w:t>31</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страховой деятельности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Предложение клиента существенно (более чем в два раза) увеличить размер страховой суммы с соответствующим увеличением размера страховой премии по действующему договору страхования жизни или иному виду накопительного страхования, заключенному юридическим или физическим лицом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Многократное внесение изменений в договор страхования в связи с заменой страхователя, застрахованного, выгодоприобретателя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Периодическое заключение клиентом двух и более договоров страхования жизни в пользу третьего лица сроком до пяти лет</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Предложение страхователя перестраховать риск в организации, зарегистрированной в государстве или на территории, предоставляющем(щей) льготный режим налогообложения и (или) не предусматривающем(щей) раскрытия и предоставления информации при проведении финансовых операций (офшорной зоне), либо в страховых и/или перестраховочных организациях, не имеющих рейтингов международных рейтинговых агентств, а также совершение операций в рамках договора с такими организациями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Клиент заключает договоры страхования с организациями, находящимися за пределами региона его места жительства (регистрации)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Клиент обращается к страховщику с предложением о расширении в договоре страхования страхового покрытия рисков, выходящих за рамки его обычной деятельности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 обращении клиент беспокоится о возможности досрочного прекращения договора страхования, а не о выполнении условий полиса (договора)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Клиент заключает договоры страхования, сумма уплачиваемых страховых премий по которым очевидно превышает его платежеспособность</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Предоставление или получение страховой услуги с тарифной ставкой, которая более чем в 2 раза превышает среднюю тарифную ставку по аналогичной услуге на внутреннем рынке страхования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3110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Перечисление денежного вознаграждения на сумму, равную или превышающую 600 000 рублей, либо равную сумме в иностранной валюте, эквивалентной 600 000 рублей, или превышающую ее, страховым агентам за представление страховщика в отношениях со страхователем по договору страхования (перестрахования)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3111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Перечисление денежного вознаграждения страховым брокерам на сумму, равную или превышающую 600 000 рублей, либо равную сумме в иностранной валюте, эквивалентной 600 000 рублей, или превышающую ее, за оказание услуг страхового брокера по договору страхования (перестрахования)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3112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Перечисление перестрахователем перестраховщику премии по заключенному с последним договору перестрахования риска выплаты страхового возмещения с учетом возможных вознаграждений за заключение такого договора, если размер такой операции равен или превышает 3 000 000 рублей, либо равен сумме в иностранной валюте, эквивалентной 3 000 000 рублей, или превышает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3113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Предоставление страховой организацией по договору страхования жизни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 аннуитетов) и (или) с участием страхователя в инвестиционном доходе страховщика) физическому лицу беспроцентного займа в пределах сформированного страхового резерва, а также выплата выкупной суммы по таким договорам на сумму, равную или превышающую 600 000 рублей, либо равную сумме в иностранной валюте, эквивалентной 600 000 рублей, или превышающую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3114</w:t>
            </w:r>
          </w:p>
        </w:tc>
        <w:tc>
          <w:tcPr>
            <w:tcW w:w="7619" w:type="dxa"/>
          </w:tcPr>
          <w:p w:rsidR="00F7193E" w:rsidRPr="00F7193E" w:rsidRDefault="00F7193E">
            <w:pPr>
              <w:spacing w:after="1" w:line="220" w:lineRule="atLeast"/>
              <w:jc w:val="both"/>
              <w:rPr>
                <w:rFonts w:ascii="Times New Roman" w:hAnsi="Times New Roman" w:cs="Times New Roman"/>
              </w:rPr>
            </w:pPr>
            <w:proofErr w:type="spellStart"/>
            <w:r w:rsidRPr="00F7193E">
              <w:rPr>
                <w:rFonts w:ascii="Times New Roman" w:hAnsi="Times New Roman" w:cs="Times New Roman"/>
              </w:rPr>
              <w:t>Неперечисление</w:t>
            </w:r>
            <w:proofErr w:type="spellEnd"/>
            <w:r w:rsidRPr="00F7193E">
              <w:rPr>
                <w:rFonts w:ascii="Times New Roman" w:hAnsi="Times New Roman" w:cs="Times New Roman"/>
              </w:rPr>
              <w:t xml:space="preserve"> страховым брокером в тридцатидневный срок денежных средств конечному получателю в рамках исполнения договора на оказание страховых брокерских услуг, если размер необходимых к перечислению </w:t>
            </w:r>
            <w:proofErr w:type="gramStart"/>
            <w:r w:rsidRPr="00F7193E">
              <w:rPr>
                <w:rFonts w:ascii="Times New Roman" w:hAnsi="Times New Roman" w:cs="Times New Roman"/>
              </w:rPr>
              <w:t>в денежных средств</w:t>
            </w:r>
            <w:proofErr w:type="gramEnd"/>
            <w:r w:rsidRPr="00F7193E">
              <w:rPr>
                <w:rFonts w:ascii="Times New Roman" w:hAnsi="Times New Roman" w:cs="Times New Roman"/>
              </w:rPr>
              <w:t xml:space="preserve"> по такому договору равен или превышает 3 000 000 рублей, либо равен сумме в иностранной валюте, эквивалентной 3 000 000 рублей, или превышает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3115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Перечисление денежного вознаграждения страховому брокеру за оказание услуг страхового брокера по договору перестрахования с зарубежными страховыми организациями, если размер такого вознаграждения равен или превышает 3 000 000 рублей, либо равен сумме в иностранной валюте, эквивалентной 3 000 000 рублей, или превышает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3199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lastRenderedPageBreak/>
              <w:t>32</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профессиональной деятельности на рынке ценных бумаг, деятельности по управлению инвестиционными фондами или негосударственными пенсионными фондами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Внесение клиентом в кассу организации - профессионального участника рынка ценных бумаг единовременно или по частям наличных денежных средств в сумму, равную или превышающую 600 000 рублей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профессиональным участником рынка ценных бумаг за свой счет или за счет клиента на внебиржевом рынке и/или через организаторов торговли на рынке ценных бумаг (далее - организаторы торговли) на основании двух адресных заявок сделок с ценными бумагами и/или иными финансовыми инструментами на сумму не менее 200 000 рублей каждая, в которых покупатель и продавец действуют в интересах одного и того же выгодоприобретателя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профессиональным участником рынка ценных бумаг за свой счет или за счет клиента взаимных сделок, когда стороны таких сделок (профессиональные участники рынка ценных бумаг или их клиенты) регулярно меняются, выступая в качестве то продавцов, то покупателей, приобретая/продавая при этом единовременно или по частям одни и те же ценные бумаги и/или иные финансовые инструменты примерно одного и того же объема (в случае совершения взаимных сделок на внебиржевом рынке и/или через организаторов торговли на основании двух адресных заявок)</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профессиональным участником рынка ценных бумаг за свой счет или за счет клиента сделок по покупке и продаже единовременно или по частям одних и тех же ценных бумаг примерно одного и того же объема в течение одного торгового дня при условии, что цена сделки по продаже ниже или равна цене сделки по покупке, а рыночная цена ценной бумаги по итогам этого же торгового дня не может быть определена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Совершение профессиональным участником рынка ценных бумаг за свой счет или за счет клиента сделок купли-продажи ценных бумаг и/или иных финансовых документов с одним контрагентом, результатом которых является прибыль или убыток соответствующего профессионального участника рынка </w:t>
            </w:r>
            <w:r w:rsidRPr="00F7193E">
              <w:rPr>
                <w:rFonts w:ascii="Times New Roman" w:hAnsi="Times New Roman" w:cs="Times New Roman"/>
              </w:rPr>
              <w:lastRenderedPageBreak/>
              <w:t>ценных бумаг или его клиента в совокупном размере 200 000 и более рублей (в случае совершения сделок на внебиржевом рынке и/или через организаторов торговли на основании двух адресных заявок)</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профессиональным участником рынка ценных бумаг за свой счет или за счет клиента сделки купли-продажи ценных бумаг, не обращающихся через организаторов торговли, по цене, существенно отличающейся от цены хотя бы в одной из сделок по этой ценной бумаге, совершенных профессиональным участником рынка ценных бумаг на внебиржевом рынке за последние 30 дней, предшествующих дате заключения рассматриваемой сделки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профессиональным участником рынка ценных бумаг за свой счет или за счет клиента сделки купли-продажи ценных бумаг, обращающихся через организаторов торговли, на внебиржевом рынке или через организатора торговли на основании двух адресных заявок по цене, существенно отличающейся от рыночной цены такой ценной бумаги, рассчитанной на конец того торгового дня, в который она была совершена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Регулярное совершение операций, связанных с фиксацией прав собственности на ценные бумаги, с одними и теми же ценными бумагами примерно в одном и том же объеме, в которых попеременно одни и те же лица выступают в качестве лиц, их отчуждающих и приобретающих, за исключением биржевых операций и сделок РЕПО</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Регулярное зачисление на лицевой счет (счет депо) и списание с лицевого счета (счета депо) одних и тех же ценных бумаг примерно в одном и том же объеме (за исключением биржевых операций и сделок РЕПО)</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Регулярное зачисление на лицевой счет (счет депо) и списание с лицевого счета (счета депо) одного и того же количества одних и тех же ценных бумаг, в случае, если их количество на начало и на конец операционного дня одно и то же (за исключением биржевых операций и сделок РЕПО)</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Перечисление денежных средств клиента на его счет в банке-нерезиденте или по его поручению на счет третьего лица в банке-нерезиденте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Осуществление операций, при которых один и тот же финансовый инструмент многократно продается и затем выкупается в сделках с одной и той же стороной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Осуществление расчетов между сторонами сделки с финансовыми инструментами с использованием расчетных счетов, открытых в кредитных организациях, зарегистрированных за пределами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Второе и каждое последующее зачисление (списание) акций российского эмитента на сумму, равную или превышающую 600 000 рублей, либо равную сумме в иностранной валюте, эквивалентной 600 000 рублей, или превышающую ее, на счет (со счета) депо по сделкам, совершенным за пределами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Второе и каждое последующее зачисление (списание) акций российского эмитента на сумму, равную или превышающую 600 000 рублей, либо равную сумме в иностранной валюте, эквивалентной 600 000 рублей, или превышающую ее, на счет (со счета) депо по сделкам, совершенным в рамках обращения акций данного эмитента за пределами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Продажа иностранных ценных бумаг на сумму, равную или превышающую 600 000 рублей, либо равную сумме в иностранной валюте, эквивалентной 600 000 рублей, или превышающую ее, в интересах нерезидента в случае, если такие ценные бумаги были зачислены на счет депо, открытый данному нерезиденту, по сделкам, совершенным не на организованных торгах</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Зачисление (списание) иностранных ценных бумаг на сумму, равную или превышающую 600 000 рублей, либо равную сумме в иностранной валюте, эквивалентной 600 000 рублей, или превышающую ее, на счет (со счета), депо, открытый клиенту-нерезиденту</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профессиональным участником рынка ценных бумаг на сумму, равную или превышающую 600 000 рублей, либо равную сумме в иностранной валюте, эквивалентной 600 000 рублей, или превышающую ее, от своего имени и за свой счет иностранных ценных бумаг у нерезидента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3219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Приобретение профессиональным участником рынка ценных бумаг на сумму, равную или превышающую 600 000 рублей, либо равную сумме в иностранной </w:t>
            </w:r>
            <w:r w:rsidRPr="00F7193E">
              <w:rPr>
                <w:rFonts w:ascii="Times New Roman" w:hAnsi="Times New Roman" w:cs="Times New Roman"/>
              </w:rPr>
              <w:lastRenderedPageBreak/>
              <w:t>валюте, эквивалентной 600 000 рублей, или превышающую ее, по поручению клиента от имени и за счет клиента или от своего имени и за счет клиента иностранных ценных бумаг у нерезидента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профессиональным участником рынка ценных бумаг, действующим в рамках договора доверительного управления ценными бумагами, иностранных ценных бумаг на сумму, равную или превышающую 600 000 рублей, либо равную сумме в иностранной валюте, эквивалентной 600 000 рублей, или превышающую ее, у нерезидента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профессиональным участником рынка ценных бумаг от своего имени и за свой счет ценных бумаг на сумму, равную или превышающую 600 000 рублей, либо равную сумме в иностранной валюте, эквивалентной 600 000 рублей, или превышающую ее, допущенных к организованным торгам, не на организованных торгах</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профессиональным участником рынка ценных бумаг по поручению клиента от имени и за счет клиента или от своего имени и за счет клиента ценных бумаг на сумму, равную или превышающую 600 000 рублей, либо равную сумме в иностранной валюте, эквивалентной 600 000 рублей, или превышающую ее, допущенных к организованным торгам, не на организованных торгах</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профессиональным участником рынка ценных бумаг, действующим в рамках договора доверительного управления ценными бумагами, данных ценных бумаг на сумму, равную или превышающую 600 000 рублей, либо равную сумме в иностранной валюте, эквивалентной 600 000 рублей, или превышающую ее, допущенных к организованным торгам, не на организованных торгах</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Продажа профессиональным участником рынка ценных бумаг в интересах клиента на организованных торгах ценных бумаг на сумму, равную или превышающую 600 000 рублей, либо равную сумме в иностранной валюте, эквивалентной 600 000 рублей, или превышающую ее, если приобретение такого количества ценных бумаг профессиональным участником рынка ценных бумаг в интересах этого клиента на организованных торгах не осуществлялось</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Перевод ценных бумаг со счета депо одного клиента на счет депо другого клиента, в случае если счета депо обоих клиентов открыты в депозитарии профессионального участника рынка ценных бумаг, а сам профессиональный участник рынка ценных бумаг не является стороной по сделке (в том числе действуя в интересах своего клиента), явившейся основанием для совершения данной операции </w:t>
            </w:r>
            <w:hyperlink w:anchor="P816" w:history="1">
              <w:r w:rsidRPr="00F7193E">
                <w:rPr>
                  <w:rFonts w:ascii="Times New Roman" w:hAnsi="Times New Roman" w:cs="Times New Roman"/>
                </w:rPr>
                <w:t>&lt;6&gt;</w:t>
              </w:r>
            </w:hyperlink>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Исполнение профессиональным участником рынка ценных бумаг (за исключением кредитных организаций) требования по перечислению денежных средств на сумму, равную или превышающую 600 000 рублей либо равную сумме в иностранной валюте, эквивалентной 600 000 рублей, или превышающую ее, клиента третьему лицу, за исключением исполнения требования по перечислению денежных средств на банковский счет другого профессионального участника рынка ценных бумаг и (или) клиринговый счет клиринговой организации для учета денежных средств этого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Принятие к учету денежных средств клиента на сумму, равную или превышающую 600 000 рублей, либо равную сумме в иностранной валюте, эквивалентной 600 000 рублей, или превышающую ее, поступивших на банковский счет профессионального участника рынка ценных бумаг от третьих лиц, за исключением денежных средств, поступивших с банковского счета другого профессионального участника и (или) клирингового счета клиринговой организации, на котором учитывались денежные средства этого клиента, и денежных средств, поступивших от сделок, совершенных этим профессиональным участником рынка ценных бумаг</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Продажа ценных бумаг на сумму, равную или превышающую 600 000 рублей либо равную сумме в иностранной валюте, эквивалентной 600 000 рублей, или превышающую ее, профессиональным участником рынка ценных бумаг на торгах организаторов торговли на рынке ценных бумаг в интересах клиента-нерезидента в случае, если такие ценные бумаги были зачислены на счет депо, открытый этому клиенту-нерезиденту, со счета депо, открытого тем же профессиональным участником рынка ценных бумаг, по сделкам, совершенным не на торгах организаторов торговли на рынке ценных бумаг, за исключением маржинальных сделок</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3229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Продажа ценных бумаг на сумму, равную или превышающую 600 000 рублей, либо равную сумме в иностранной валюте, эквивалентной 600 000 рублей, или превышающую ее, профессиональным участником рынка ценных бумаг на торгах организаторов торговли на рынке ценных бумаг в интересах клиента-нерезидента, поступивших на счет депо, открытый этому клиенту-нерезиденту, со счета, открытого в ином профессиональном участнике рынка ценных бумаг, за исключением маржинальных сделок</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3230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Возврат профессиональному участнику рынка ценных бумаг клиентом-нерезидентом занятых в рамках маржинальных сделок ценных бумаг на сумму, равную или превышающую 600 000 рублей, либо равную сумме в иностранной валюте, эквивалентной 600 000 рублей, или превышающую ее, в случае, если возврат осуществляется ценными бумагами, полученными по сделкам, совершенным не на торгах организаторов торговли на рынке ценных бумаг</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3231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Второе и каждое последующее зачисление (списание) ценных бумаг, допущенных к торгам на фондовых биржах и (или) иных организаторах торговли на рынке ценных бумаг, на сумму, равную или превышающую 600 000 рублей, либо равную сумме в иностранной валюте, эквивалентной 600 000 рублей, или превышающую ее, на счет (со счета) депо, открытый клиенту-нерезиденту, по сделкам, совершенным не на торгах организаторов торговли на рынке ценных бумаг, за исключением зачисления (списания) на счет (со счета) депо акций российского эмитента, связанного с их обращением за пределами Российской Федерации посредством размещения и обращения иностранных ценных бумаг, а также сделок РЕПО</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3299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33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деятельности по негосударственному пенсионному обеспечению, обязательному пенсионному страхованию и профессиональному пенсионному страхованию</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3301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Выплата негосударственным пенсионным фондом выкупной суммы, равной или превышающей 600000 рублей, либо равную сумме в иностранной валюте, эквивалентной 600 000 рублей, или превышающую ее, вкладчику </w:t>
            </w:r>
            <w:r w:rsidRPr="00F7193E">
              <w:rPr>
                <w:rFonts w:ascii="Times New Roman" w:hAnsi="Times New Roman" w:cs="Times New Roman"/>
              </w:rPr>
              <w:lastRenderedPageBreak/>
              <w:t>негосударственного пенсионного фонда или участнику негосударственного пенсионного фонда в наличной форме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3302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негосударственным пенсионным фондом негосударственной пенсии на сумму, равную или превышающую 600 000 рублей, либо равную сумме в иностранной валюте, эквивалентной 600 000 рублей, или превышающую ее, участникам негосударственного пенсионного фонда в наличной форме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3303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Перевод выкупной суммы, равной или превышающей 600000 рублей, либо равную сумме в иностранной валюте, эквивалентной 600 000 рублей, или превышающую ее, со счета негосударственного пенсионного фонда на счет вкладчика негосударственного пенсионного фонда или участника негосударственного пенсионного фонда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3304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Перевод негосударственной пенсии на сумму, равную или превышающую 600 000 рублей, либо равную сумме в иностранной валюте, эквивалентной 600 000 рублей, или превышающую ее, со счета негосударственного пенсионного фонда на счет участника негосударственного пенсионного фонда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3305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операций с имуществом, предназначенным для обеспечения уставной деятельности негосударственного пенсионного фонда на сумму, равную или превышающую 600 000 рублей либо равную сумме в иностранной валюте, эквивалентной 600 000 рублей, или превышающую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3399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34</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лизинговой деятельности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3401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Оплата лизинговых платежей по поручению лизингополучателя третьим лицом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3402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Получение или предоставление имущества по договору лизинга (</w:t>
            </w:r>
            <w:proofErr w:type="spellStart"/>
            <w:r w:rsidRPr="00F7193E">
              <w:rPr>
                <w:rFonts w:ascii="Times New Roman" w:hAnsi="Times New Roman" w:cs="Times New Roman"/>
              </w:rPr>
              <w:t>сублизинга</w:t>
            </w:r>
            <w:proofErr w:type="spellEnd"/>
            <w:r w:rsidRPr="00F7193E">
              <w:rPr>
                <w:rFonts w:ascii="Times New Roman" w:hAnsi="Times New Roman" w:cs="Times New Roman"/>
              </w:rPr>
              <w:t>), когда продавцом предмета лизинга и лизингополучателем (</w:t>
            </w:r>
            <w:proofErr w:type="spellStart"/>
            <w:r w:rsidRPr="00F7193E">
              <w:rPr>
                <w:rFonts w:ascii="Times New Roman" w:hAnsi="Times New Roman" w:cs="Times New Roman"/>
              </w:rPr>
              <w:t>сублизингополучателем</w:t>
            </w:r>
            <w:proofErr w:type="spellEnd"/>
            <w:r w:rsidRPr="00F7193E">
              <w:rPr>
                <w:rFonts w:ascii="Times New Roman" w:hAnsi="Times New Roman" w:cs="Times New Roman"/>
              </w:rPr>
              <w:t>) выступает одно и то же лицо</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3403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Досрочное расторжение договора лизинга без видимого основания в короткий срок после его заключения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3404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Размер авансового платежа по договору лизинга существенно отличается от обычной практики заключения лизинговых сделок и составляет более 30% от общей стоимости имущества, передаваемого по договору лизинга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3405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имущества для последующей передачи в лизинг, по стоимости, более чем на 30% превышающей среднерыночную</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3499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35</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сделок с недвижимым имуществом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Предложение или попытка клиента совершить сделку с недвижимым имуществом, на которое наложено обременение (за исключением ипотеки)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Совершение сделки с недвижимым имуществом по цене, отличной от рыночной в 2 и более раз</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Многократная (три и более раз) покупка и (или) продажа физическим лицом объектов недвижимости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Многократное (три и более раз) совершение физическим или юридическим лицом сделок с одним объектом недвижимости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Осуществление сделки с недвижимым имуществом, стороной по которой выступает нерезидент</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Осуществление сделки с недвижимым имуществом, стороной по которой выступает участник федеральных, региональных либо муниципальных целевых программ или национальных проектов, направленных на обеспечение жильем либо на улучшение жилищных условий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Осуществление сделки купли-продажи недвижимого имущества, являющегося государственной или муниципальной собственностью, приобретателем по которой выступает коммерческое юридическое лицо</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3599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lastRenderedPageBreak/>
              <w:t>36</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деятельности по содержанию тотализаторов и букмекерских контор, а также организации и проведении лотерей, тотализаторов (взаимного пари) и иных основанных на риске играх, в том числе в электронной форме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Подозрение на использование или попытка использования клиентом в качестве средств платежа поддельных расчетных и кредитных банковских карт или иных платежных документов, не являющихся ценными бумагами (поддельные кредитные карты, поддельные "бонусные" карты, жетоны и т.д.)</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Подозрение на использование или попытка использования клиентом в качестве </w:t>
            </w:r>
            <w:proofErr w:type="gramStart"/>
            <w:r w:rsidRPr="00F7193E">
              <w:rPr>
                <w:rFonts w:ascii="Times New Roman" w:hAnsi="Times New Roman" w:cs="Times New Roman"/>
              </w:rPr>
              <w:t>средств платежа</w:t>
            </w:r>
            <w:proofErr w:type="gramEnd"/>
            <w:r w:rsidRPr="00F7193E">
              <w:rPr>
                <w:rFonts w:ascii="Times New Roman" w:hAnsi="Times New Roman" w:cs="Times New Roman"/>
              </w:rPr>
              <w:t xml:space="preserve"> изъятых из оборота расчетных и кредитных банковских карт или иных платежных документов, не являющихся ценными бумагами (заблокированные владельцами банковские карты, изъятые из оборота бонусные карты игорного заведения)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Безналичные денежные переводы от организаций в качестве платы за участие в игре на тотализаторе или в букмекерской конторе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Попытка использования клиентом в качестве средств платежа поддельных банкнот Центрального банка Российской Федерации или иностранной валюты (использование поддельных наличных денежных средств)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Подозрение на предъявление или попытка предъявления клиентом поддельных лотерейных билетов при выигрыше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Подозрение о подделке документов, используемых при приеме ставок на пари (подделка билетов тотализаторов и букмекерских контор)</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Подозрение на осуществление сговора между работниками игорного заведения и участником азартной игры или пари о заранее установленном исходе в азартной игре или пари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Подозрение на использование игроками оборудования и устройств, заранее определяющих исход в азартной игре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клиенту приза в виде денежных средств по результатам розыгрыша призового фонда, сформированного имуществом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3610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выигрыша в розыгрыше призов, не принадлежащих организатору азартной игры на праве собственности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3611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(выдача) приза клиенту в виде имущества (движимого или недвижимого) по результатам розыгрыша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3612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Неоднократное внесение одним физическим лицом в течение месяца денежных средств в виде платы за участие в лотерее, тотализаторе (взаимном пари) и иных основанных на риске играх, в том числе в электронной форме, в разные розыгрыши на общую сумму, равную или превышающую 600 000 рублей либо равную сумме в иностранной валюте, эквивалентной 600 000 рублей, или превышающую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3613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Неоднократное получение одним физическим лицом в течение месяца денежных средств в виде выигрыша, полученного от участия в лотерее, тотализаторе (взаимном пари) и иных основанных на риске играх, в том числе в электронной форме, в разных розыгрышах, на общую сумму, равную или превышающую 600 000 рублей, либо равную сумме в иностранной валюте, эквивалентной 600 000 рублей, или превышающую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3614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Возврат неиспользованных в игре денежных средств, внесенных в наличной форме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3699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37</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деятельности ломбарда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Многократное (пять и более раз в год) получение займа под залог ювелирных изделий без последующего выкупа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Многократное (два и более раз в год) помещение физическим лицом имущества в ломбард, когда такие операции осуществляются на территории субъекта </w:t>
            </w:r>
            <w:r w:rsidRPr="00F7193E">
              <w:rPr>
                <w:rFonts w:ascii="Times New Roman" w:hAnsi="Times New Roman" w:cs="Times New Roman"/>
              </w:rPr>
              <w:lastRenderedPageBreak/>
              <w:t>Российской Федерации, не соответствующего месту регистрации физического лица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Сдача на комиссию, под залог или в скупку ювелирных изделий из драгоценных металлов и драгоценных камней с признаками фальшивых оттисков пробирных клейм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Сдача на комиссию, под залог или в скупку ювелирных изделий из драгоценных металлов и драгоценных камней без оттисков пробирных клейм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Систематическая сдача на комиссию, под залог или в скупку физическим лицом нескольких ювелирных изделий и (или) однотипных ювелирных изделий, либо группой лиц однотипных ювелирных изделий, в том числе имеющих товарные бирки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Систематическая сдача на комиссию, под залог или в скупку физическим лицом ограненных драгоценных камней или партии ограненных драгоценных камней (как имеющих сертификаты, так и не имеющих сертификаты)</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Сдача на комиссию либо под залог в ломбард транспортного средства по доверенности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3799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38</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скупки, купли-продажи драгоценных металлов и драгоценных камней, ювелирных изделий из них и лома таких изделий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Систематическое приобретение физическим лицом нескольких ювелирных или других бытовых изделий из драгоценных металлов и (или) драгоценных камней (однотипных изделий) и/или сертифицированных драгоценных камней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Перечисление по поручению клиента денежных средств за реализованные драгоценные металлы и драгоценные камни, ювелирные изделия из них и лом таких изделий на счета третьих лиц</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Представление продавцом при купле-продаже стандартных и (или) мерных слитков из аффинированных драгоценных металлов вместо оригиналов копий документов о качестве (паспорта или сертификата), а также спецификаций на них</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Отклонение стоимости драгоценных металлов, драгоценных камней, ювелирных изделий из них или других бытовых изделий из лома и отходов в рамках договора более чем на 20 процентов в сторону повышения или в сторону понижения от уровня рыночных цен</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Реализация продукции (прутьев, стержней, проволоки, пластин, полос, листов и т.п.), произведенной из стандартных и (или) мерных слитков аффинированных драгоценных металлов без изменения химического состава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Получение партии (партий) ювелирных и (или) других бытовых изделий из драгоценных металлов и драгоценных камней с возможно фальшивыми оттисками пробирных клейм, с незарегистрированными оттисками </w:t>
            </w:r>
            <w:proofErr w:type="spellStart"/>
            <w:r w:rsidRPr="00F7193E">
              <w:rPr>
                <w:rFonts w:ascii="Times New Roman" w:hAnsi="Times New Roman" w:cs="Times New Roman"/>
              </w:rPr>
              <w:t>именников</w:t>
            </w:r>
            <w:proofErr w:type="spellEnd"/>
            <w:r w:rsidRPr="00F7193E">
              <w:rPr>
                <w:rFonts w:ascii="Times New Roman" w:hAnsi="Times New Roman" w:cs="Times New Roman"/>
              </w:rPr>
              <w:t xml:space="preserve"> производителей и (или) без оттисков государственных пробирных клейм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юридическим лицом - производителем ювелирной продукции минерального сырья у организаций и (или) старательских артелей, осуществляющих добычу драгоценных металлов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Приобретение юридическим лицом - производителем продукции, не осуществляющим деятельность по огранке драгоценных камней, алмазного сырья и драгоценных камней </w:t>
            </w:r>
            <w:proofErr w:type="gramStart"/>
            <w:r w:rsidRPr="00F7193E">
              <w:rPr>
                <w:rFonts w:ascii="Times New Roman" w:hAnsi="Times New Roman" w:cs="Times New Roman"/>
              </w:rPr>
              <w:t>в сыром</w:t>
            </w:r>
            <w:proofErr w:type="gramEnd"/>
            <w:r w:rsidRPr="00F7193E">
              <w:rPr>
                <w:rFonts w:ascii="Times New Roman" w:hAnsi="Times New Roman" w:cs="Times New Roman"/>
              </w:rPr>
              <w:t xml:space="preserve"> (не обработанном) виде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Приобретение юридическим лицом ограненных драгоценных камней (за исключением бриллиантов), не добывающихся на территории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3899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39</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оказании услуг почтовой связи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Операции по осуществлению почтовых переводов денежных средств, совершаемые клиентом - юридическим лицом, заключившим договор об </w:t>
            </w:r>
            <w:r w:rsidRPr="00F7193E">
              <w:rPr>
                <w:rFonts w:ascii="Times New Roman" w:hAnsi="Times New Roman" w:cs="Times New Roman"/>
              </w:rPr>
              <w:lastRenderedPageBreak/>
              <w:t>осуществлении переводов денежных средств с организацией федеральной почтовой связи (филиалом организации), расположенной за пределами региона (субъекта Российской Федерации) фактического осуществления деятельности клиента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Характер деятельности клиента - юридического лица, являющегося отправителем почтовых переводов денежных средств, не предполагает постоянного (регулярного) перечисления денежных средств в адрес физических лиц, в том числе посредством почтовых переводов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Несоответствие объема почтовых переводов денежных средств, перечисляемых через организацию федеральной почтовой связи (ее структурное подразделение), назначению платежа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Неоднократное осуществление почтовых переводов денежных средств одним или несколькими юридическими лицами в адрес одного или нескольких физических лиц в крупных объемах</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Операции по осуществлению почтовых переводов денежных средств от нескольких физических лиц (отправителей) в адрес одного получателя в крупных объемах при отсутствии явных признаков родственных связей между отправителями и получателем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Операции по осуществлению почтовых переводов денежных средств от одного физического лица (отправителя) в адрес нескольких получателей в крупных объемах при отсутствии явных признаков связей между отправителем и получателями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почтовых переводов денежных средств, адресованных одному клиенту (получателю) в крупных объемах по доверенности, выданной двум и более лицам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Дробление суммы при осуществлении почтовых переводов денежных средств: по времени, по месту совершения операции, по субъектам перевода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почтовых переводов денежных средств, адресованных нескольким физическим лицам (получателям), по доверенности, выданной одному лицу</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3999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41</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деятельности оператора по приему платежей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4101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Получение или перечисление денежных средств оператором по приему платежей клиенту либо контрагенту, являющемуся его аффилированным лицом, на сумму, равную или превышающую 600 000 рублей, либо равную сумме в иностранной валюте, эквивалентной 600 000 рублей, или превышающую ее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4102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Требование платежного субагента о возврате ранее перечисленных денежных средств по основанию: "Возврат ошибочно перечисленных сумм"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4103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Нехарактерное увеличение объема денежных средств, поступающих от платежного субагента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4104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Внесение физическим лицом оператору по приему платежей наличных денежных средств на сумму, равную или превышающую 600 000 рублей, либо равную сумме в иностранной валюте, эквивалентной 600 000 рублей, или превышающую ее, направленных на исполнение денежных обязательств физического лица перед поставщиком по оплате товаров (работ, услуг) либо направленных органам государственной власти, органам местного самоуправления и бюджетным учреждениям, находящимся в их ведении, в рамках выполнения ими функций, установленных законодательством Российской Федерации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4199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blPrEx>
          <w:tblBorders>
            <w:insideH w:val="nil"/>
          </w:tblBorders>
        </w:tblPrEx>
        <w:tc>
          <w:tcPr>
            <w:tcW w:w="989" w:type="dxa"/>
            <w:tcBorders>
              <w:bottom w:val="nil"/>
            </w:tcBorders>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42</w:t>
            </w:r>
          </w:p>
        </w:tc>
        <w:tc>
          <w:tcPr>
            <w:tcW w:w="1091" w:type="dxa"/>
            <w:tcBorders>
              <w:bottom w:val="nil"/>
            </w:tcBorders>
          </w:tcPr>
          <w:p w:rsidR="00F7193E" w:rsidRPr="00F7193E" w:rsidRDefault="00F7193E">
            <w:pPr>
              <w:spacing w:after="1" w:line="220" w:lineRule="atLeast"/>
              <w:rPr>
                <w:rFonts w:ascii="Times New Roman" w:hAnsi="Times New Roman" w:cs="Times New Roman"/>
              </w:rPr>
            </w:pPr>
          </w:p>
        </w:tc>
        <w:tc>
          <w:tcPr>
            <w:tcW w:w="7619" w:type="dxa"/>
            <w:tcBorders>
              <w:bottom w:val="nil"/>
            </w:tcBorders>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деятельности оператора связи, имеющего право самостоятельно оказывать услуги подвижной радиотелефонной связи</w:t>
            </w:r>
          </w:p>
        </w:tc>
      </w:tr>
      <w:tr w:rsidR="00F7193E" w:rsidRPr="00F7193E">
        <w:tblPrEx>
          <w:tblBorders>
            <w:insideH w:val="nil"/>
          </w:tblBorders>
        </w:tblPrEx>
        <w:tc>
          <w:tcPr>
            <w:tcW w:w="9699" w:type="dxa"/>
            <w:gridSpan w:val="3"/>
            <w:tcBorders>
              <w:top w:val="nil"/>
            </w:tcBorders>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 xml:space="preserve">(в ред. </w:t>
            </w:r>
            <w:hyperlink r:id="rId25" w:history="1">
              <w:r w:rsidRPr="00F7193E">
                <w:rPr>
                  <w:rFonts w:ascii="Times New Roman" w:hAnsi="Times New Roman" w:cs="Times New Roman"/>
                </w:rPr>
                <w:t>Приказа</w:t>
              </w:r>
            </w:hyperlink>
            <w:r w:rsidRPr="00F7193E">
              <w:rPr>
                <w:rFonts w:ascii="Times New Roman" w:hAnsi="Times New Roman" w:cs="Times New Roman"/>
              </w:rPr>
              <w:t xml:space="preserve"> Росфинмониторинга от 09.01.2014 № 2)</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4201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Неоднократное поступление на лицевой счет абонента денежных средств в крупных объемах</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4202</w:t>
            </w:r>
          </w:p>
        </w:tc>
        <w:tc>
          <w:tcPr>
            <w:tcW w:w="7619" w:type="dxa"/>
            <w:vAlign w:val="center"/>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Нехарактерное увеличение объема денежных средств, поступающих на лицевой счет абонента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4203</w:t>
            </w:r>
          </w:p>
        </w:tc>
        <w:tc>
          <w:tcPr>
            <w:tcW w:w="7619" w:type="dxa"/>
            <w:vAlign w:val="center"/>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Поручение абонента по его письменному заявлению осуществить возврат в наличной форме раннее перечисленных на его лицевой счет денежных средств в течение короткого промежутка времени с момента их перечисления (либо заключения договора), в том числе при досрочном расторжении договора, абоненту или третьему лицу, не являющемуся стороной по договору</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4204</w:t>
            </w:r>
          </w:p>
        </w:tc>
        <w:tc>
          <w:tcPr>
            <w:tcW w:w="7619" w:type="dxa"/>
            <w:vAlign w:val="center"/>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абоненту в наличной форме крупного объема денежных средств неиспользованного остатка с его лицевого счета (по письменному заявлению абонента)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4205</w:t>
            </w:r>
          </w:p>
        </w:tc>
        <w:tc>
          <w:tcPr>
            <w:tcW w:w="7619" w:type="dxa"/>
            <w:vAlign w:val="center"/>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Выплата в наличной форме крупного объема денежных средств неиспользованного остатка с лицевого счета по доверенности (по письменному заявлению абонента)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4299</w:t>
            </w:r>
          </w:p>
        </w:tc>
        <w:tc>
          <w:tcPr>
            <w:tcW w:w="7619" w:type="dxa"/>
            <w:vAlign w:val="center"/>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43</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осуществлении финансирования под уступку денежного требования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4301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Регулярное перечисление платежей финансовому агенту в рамках договора финансирования под уступку денежного требования за клиента третьими лицами, не являющимися должниками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4302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Подозрение на предъявление финансовому агенту поддельных документов, свидетельствующих о наличии денежного требования клиента к должнику (договора с должником, документов, подтверждающих поставку товара (накладных, актов), счетов-фактур и т.д.)</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4303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Получение денежных средств в рамках договора финансирования под уступку денежного требования клиентом и возврат им денежных средств производится в течение одного банковского дня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4304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Отсутствие у клиента экономической необходимости на заключение договора финансирования под уступку денежного требования</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4399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bookmarkStart w:id="5" w:name="P721"/>
            <w:bookmarkEnd w:id="5"/>
            <w:r w:rsidRPr="00F7193E">
              <w:rPr>
                <w:rFonts w:ascii="Times New Roman" w:hAnsi="Times New Roman" w:cs="Times New Roman"/>
              </w:rPr>
              <w:t>44</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Признаки необычных сделок, выявляемые при осуществлении деятельности по выдаче потребительских кредитов </w:t>
            </w:r>
            <w:hyperlink w:anchor="P817" w:history="1">
              <w:r w:rsidRPr="00F7193E">
                <w:rPr>
                  <w:rFonts w:ascii="Times New Roman" w:hAnsi="Times New Roman" w:cs="Times New Roman"/>
                </w:rPr>
                <w:t>&lt;7&gt;</w:t>
              </w:r>
            </w:hyperlink>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Предоставление займа(</w:t>
            </w:r>
            <w:proofErr w:type="spellStart"/>
            <w:r w:rsidRPr="00F7193E">
              <w:rPr>
                <w:rFonts w:ascii="Times New Roman" w:hAnsi="Times New Roman" w:cs="Times New Roman"/>
              </w:rPr>
              <w:t>ов</w:t>
            </w:r>
            <w:proofErr w:type="spellEnd"/>
            <w:r w:rsidRPr="00F7193E">
              <w:rPr>
                <w:rFonts w:ascii="Times New Roman" w:hAnsi="Times New Roman" w:cs="Times New Roman"/>
              </w:rPr>
              <w:t>) на сумму, равную или превышающую 600 000 рублей, опекуну или иному лицу, являющемуся законным представителем (в том числе, действующему на основании доверенности) члена (пайщика) кредитного потребительского кооператива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Заключение с одним членом (пайщиком) кредитного потребительского кооператива нескольких договоров личных сбережений (займов) в течение трех месяцев на сумму, равную или превышающую 600 000 рублей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Передача членом (пайщиком) кредитного потребительского кооператива поручения о перечислении причитающихся ему денежных средств в пользу третьего лица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Осуществление операции с государственными или муниципальными ценными бумагами на сумму, равную или превышающую 600 000 рублей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Дробление сумм денежных средств, размещаемых пайщиком, на несколько договоров в течение небольшого периода времени, при условии, что результат сложения указанных денежных средств (если бы они были оформлены одним договором) составляет или превышает 600 000 рублей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Заключение в течение небольшого периода времени на имя одного пайщика нескольких краткосрочных договоров передачи личных сбережений, передачи денежных средств по договору займа, либо внесение этим пайщиком паевых взносов, даже если сумма договора или взноса меньше 600 000 рублей, с последующей консолидацией сумм размещенных сбережений, займов или внесенных паевых взносов на один договор передачи денежных средств и (или) получением денежных средств в наличной форме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Заключение в течение небольшого периода времени на имя одного пайщика нескольких краткосрочных договоров, даже если сумма договора меньше 600 000 рублей, с последующим досрочным расторжением договоров</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4408</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Заключение в течение небольшого периода времени на имя одного пайщика нескольких договоров, предусматривающих возврат денежных средств по первому требованию пайщика, даже если сумма договора меньше 600 000 рублей, с последующим оформлением сумм на один договор и (или) получением денежных средств в наличной форме через незначительный промежуток времени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4409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Предоставление члену (пайщику) кредитного потребительского кооператива займа, на сумму, равную или близкую к привлеченному от него паю, либо денежным средствам, переданным по договору личных сбережений (займа)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4410</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Заключение в течение небольшого периода времени договоров в отношении юридического лица и аффилированного с ним юридического лица, либо в отношении юридического лица и аффилированного с ним или находящимся в трудовых отношениях с ним физического лица, по которым одно из указанных лиц вносит денежные средства в кредитный кооператив, а другое лицо получает денежные средства из кредитного кооператива на ту же или близкую к внесенной сумму, даже если сумма каждого договора меньше 600 000 рублей</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4499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r w:rsidRPr="00F7193E">
              <w:rPr>
                <w:rFonts w:ascii="Times New Roman" w:hAnsi="Times New Roman" w:cs="Times New Roman"/>
              </w:rPr>
              <w:t>45</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Признаки необычных сделок, выявляемые при осуществлении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деятельности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Поручение заемщика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организации перечислить предоставляемый ему заем на банковский счет, открытый в подразделении кредитной организации, действующей в регионе, отличном от места регистрации заемщика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Заключение в течение небольшого периода времени договоров займа с аффилированными между собой лицами либо с юридическим лицом и находящимся с ним в трудовых отношениях физическим лицом, по которым одно лицо получает заемные средства, а другое лицо осуществляет возврат займа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Досрочный частичный или полный возврат займа, предоставленного клиенту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организацией, осуществленный третьим лицом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Смена учредителя (участника) и/или руководителя заемщика - юридического лица, получившего заем от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организации, в течение короткого периода времени после получения займа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Предоставление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организацией в течение небольшого периода времени трех и более займов на общую сумму, равную или превышающую 600 000 рублей, разным заемщикам, представителем (посредником) у которых является одно и то же лицо, либо заемщикам, аффилированным с одним и тем же лицом</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4506</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Предоставление займа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организацией при условии его возврата заемщиком за счет средств, полученных в рамках реализации федеральных целевых программ (материнский (семейный) капитал, жилищные сертификаты, и т.д.)</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4507</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Регулярное привлечение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организацией денежных средств в крупном объеме от одного или нескольких аффилированных между собой лиц, зарегистрированных за пределами региона места регистрации </w:t>
            </w:r>
            <w:proofErr w:type="spellStart"/>
            <w:r w:rsidRPr="00F7193E">
              <w:rPr>
                <w:rFonts w:ascii="Times New Roman" w:hAnsi="Times New Roman" w:cs="Times New Roman"/>
              </w:rPr>
              <w:t>микрофинансовой</w:t>
            </w:r>
            <w:proofErr w:type="spellEnd"/>
            <w:r w:rsidRPr="00F7193E">
              <w:rPr>
                <w:rFonts w:ascii="Times New Roman" w:hAnsi="Times New Roman" w:cs="Times New Roman"/>
              </w:rPr>
              <w:t xml:space="preserve"> организации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4599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r w:rsidR="00F7193E" w:rsidRPr="00F7193E">
        <w:tc>
          <w:tcPr>
            <w:tcW w:w="989" w:type="dxa"/>
          </w:tcPr>
          <w:p w:rsidR="00F7193E" w:rsidRPr="00F7193E" w:rsidRDefault="00F7193E">
            <w:pPr>
              <w:spacing w:after="1" w:line="220" w:lineRule="atLeast"/>
              <w:outlineLvl w:val="2"/>
              <w:rPr>
                <w:rFonts w:ascii="Times New Roman" w:hAnsi="Times New Roman" w:cs="Times New Roman"/>
              </w:rPr>
            </w:pPr>
            <w:bookmarkStart w:id="6" w:name="P784"/>
            <w:bookmarkEnd w:id="6"/>
            <w:r w:rsidRPr="00F7193E">
              <w:rPr>
                <w:rFonts w:ascii="Times New Roman" w:hAnsi="Times New Roman" w:cs="Times New Roman"/>
              </w:rPr>
              <w:t>46</w:t>
            </w:r>
          </w:p>
        </w:tc>
        <w:tc>
          <w:tcPr>
            <w:tcW w:w="1091" w:type="dxa"/>
          </w:tcPr>
          <w:p w:rsidR="00F7193E" w:rsidRPr="00F7193E" w:rsidRDefault="00F7193E">
            <w:pPr>
              <w:spacing w:after="1" w:line="220" w:lineRule="atLeast"/>
              <w:rPr>
                <w:rFonts w:ascii="Times New Roman" w:hAnsi="Times New Roman" w:cs="Times New Roman"/>
              </w:rPr>
            </w:pP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Признаки необычных сделок, выявляемые при оказании нотариальных услуг</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4601</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Обращение клиента по нотариальному удостоверению сделки с недвижимым имуществом, на которое наложено обременение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4602</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Подозрение в подделке документов при удостоверении договоров отчуждения и о залоге имущества, подлежащего регистрации</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4603</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Сомнение в бесспорности и достоверности документов, подтверждающих право собственности на отчуждаемое или закладываемое имущество при удостоверении договоров отчуждения и о залоге имущества</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4604</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 xml:space="preserve">Внесение в депозит нотариуса денежных средств и ценных бумаг и списание (снятие) с депозита нотариуса ценных бумаг и денежных средств, в </w:t>
            </w:r>
            <w:proofErr w:type="spellStart"/>
            <w:r w:rsidRPr="00F7193E">
              <w:rPr>
                <w:rFonts w:ascii="Times New Roman" w:hAnsi="Times New Roman" w:cs="Times New Roman"/>
              </w:rPr>
              <w:t>т.ч</w:t>
            </w:r>
            <w:proofErr w:type="spellEnd"/>
            <w:r w:rsidRPr="00F7193E">
              <w:rPr>
                <w:rFonts w:ascii="Times New Roman" w:hAnsi="Times New Roman" w:cs="Times New Roman"/>
              </w:rPr>
              <w:t>. в наличной форме</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4605</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Нотариальное удостоверение доверенности физическому лицу на право получения почтовых переводов денежных средств за двух и более физических лиц</w:t>
            </w:r>
          </w:p>
        </w:tc>
      </w:tr>
      <w:tr w:rsidR="00F7193E" w:rsidRPr="00F7193E">
        <w:tc>
          <w:tcPr>
            <w:tcW w:w="989" w:type="dxa"/>
          </w:tcPr>
          <w:p w:rsidR="00F7193E" w:rsidRPr="00F7193E" w:rsidRDefault="00F7193E">
            <w:pPr>
              <w:spacing w:after="1" w:line="220" w:lineRule="atLeast"/>
              <w:rPr>
                <w:rFonts w:ascii="Times New Roman" w:hAnsi="Times New Roman" w:cs="Times New Roman"/>
              </w:rPr>
            </w:pPr>
          </w:p>
        </w:tc>
        <w:tc>
          <w:tcPr>
            <w:tcW w:w="1091" w:type="dxa"/>
          </w:tcPr>
          <w:p w:rsidR="00F7193E" w:rsidRPr="00F7193E" w:rsidRDefault="00F7193E">
            <w:pPr>
              <w:spacing w:after="1" w:line="220" w:lineRule="atLeast"/>
              <w:rPr>
                <w:rFonts w:ascii="Times New Roman" w:hAnsi="Times New Roman" w:cs="Times New Roman"/>
              </w:rPr>
            </w:pPr>
            <w:r w:rsidRPr="00F7193E">
              <w:rPr>
                <w:rFonts w:ascii="Times New Roman" w:hAnsi="Times New Roman" w:cs="Times New Roman"/>
              </w:rPr>
              <w:t>4699</w:t>
            </w:r>
          </w:p>
        </w:tc>
        <w:tc>
          <w:tcPr>
            <w:tcW w:w="7619" w:type="dxa"/>
          </w:tcPr>
          <w:p w:rsidR="00F7193E" w:rsidRPr="00F7193E" w:rsidRDefault="00F7193E">
            <w:pPr>
              <w:spacing w:after="1" w:line="220" w:lineRule="atLeast"/>
              <w:jc w:val="both"/>
              <w:rPr>
                <w:rFonts w:ascii="Times New Roman" w:hAnsi="Times New Roman" w:cs="Times New Roman"/>
              </w:rPr>
            </w:pPr>
            <w:r w:rsidRPr="00F7193E">
              <w:rPr>
                <w:rFonts w:ascii="Times New Roman" w:hAnsi="Times New Roman" w:cs="Times New Roman"/>
              </w:rPr>
              <w:t>Иные признаки</w:t>
            </w:r>
          </w:p>
        </w:tc>
      </w:tr>
    </w:tbl>
    <w:p w:rsidR="00F7193E" w:rsidRPr="00F7193E" w:rsidRDefault="00F7193E">
      <w:pPr>
        <w:rPr>
          <w:rFonts w:ascii="Times New Roman" w:hAnsi="Times New Roman" w:cs="Times New Roman"/>
        </w:rPr>
        <w:sectPr w:rsidR="00F7193E" w:rsidRPr="00F7193E">
          <w:pgSz w:w="16838" w:h="11905" w:orient="landscape"/>
          <w:pgMar w:top="1701" w:right="1134" w:bottom="850" w:left="1134" w:header="0" w:footer="0" w:gutter="0"/>
          <w:cols w:space="720"/>
        </w:sectPr>
      </w:pP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spacing w:after="1" w:line="220" w:lineRule="atLeast"/>
        <w:ind w:firstLine="540"/>
        <w:jc w:val="both"/>
        <w:rPr>
          <w:rFonts w:ascii="Times New Roman" w:hAnsi="Times New Roman" w:cs="Times New Roman"/>
        </w:rPr>
      </w:pPr>
      <w:r w:rsidRPr="00F7193E">
        <w:rPr>
          <w:rFonts w:ascii="Times New Roman" w:hAnsi="Times New Roman" w:cs="Times New Roman"/>
        </w:rPr>
        <w:t>--------------------------------</w:t>
      </w:r>
    </w:p>
    <w:p w:rsidR="00F7193E" w:rsidRPr="00F7193E" w:rsidRDefault="00F7193E">
      <w:pPr>
        <w:spacing w:after="1" w:line="220" w:lineRule="atLeast"/>
        <w:ind w:firstLine="540"/>
        <w:jc w:val="both"/>
        <w:rPr>
          <w:rFonts w:ascii="Times New Roman" w:hAnsi="Times New Roman" w:cs="Times New Roman"/>
        </w:rPr>
      </w:pPr>
      <w:bookmarkStart w:id="7" w:name="P807"/>
      <w:bookmarkEnd w:id="7"/>
      <w:r w:rsidRPr="00F7193E">
        <w:rPr>
          <w:rFonts w:ascii="Times New Roman" w:hAnsi="Times New Roman" w:cs="Times New Roman"/>
        </w:rPr>
        <w:t xml:space="preserve">&lt;1&gt; Критерии и признаки </w:t>
      </w:r>
      <w:hyperlink w:anchor="P57" w:history="1">
        <w:r w:rsidRPr="00F7193E">
          <w:rPr>
            <w:rFonts w:ascii="Times New Roman" w:hAnsi="Times New Roman" w:cs="Times New Roman"/>
          </w:rPr>
          <w:t>групп 11</w:t>
        </w:r>
      </w:hyperlink>
      <w:r w:rsidRPr="00F7193E">
        <w:rPr>
          <w:rFonts w:ascii="Times New Roman" w:hAnsi="Times New Roman" w:cs="Times New Roman"/>
        </w:rPr>
        <w:t xml:space="preserve"> - </w:t>
      </w:r>
      <w:hyperlink w:anchor="P270" w:history="1">
        <w:r w:rsidRPr="00F7193E">
          <w:rPr>
            <w:rFonts w:ascii="Times New Roman" w:hAnsi="Times New Roman" w:cs="Times New Roman"/>
          </w:rPr>
          <w:t>22</w:t>
        </w:r>
      </w:hyperlink>
      <w:r w:rsidRPr="00F7193E">
        <w:rPr>
          <w:rFonts w:ascii="Times New Roman" w:hAnsi="Times New Roman" w:cs="Times New Roman"/>
        </w:rPr>
        <w:t xml:space="preserve"> носят общий характер и используются организациями и иными лицами в полном объеме. Признаки </w:t>
      </w:r>
      <w:hyperlink w:anchor="P303" w:history="1">
        <w:r w:rsidRPr="00F7193E">
          <w:rPr>
            <w:rFonts w:ascii="Times New Roman" w:hAnsi="Times New Roman" w:cs="Times New Roman"/>
          </w:rPr>
          <w:t>групп 31</w:t>
        </w:r>
      </w:hyperlink>
      <w:r w:rsidRPr="00F7193E">
        <w:rPr>
          <w:rFonts w:ascii="Times New Roman" w:hAnsi="Times New Roman" w:cs="Times New Roman"/>
        </w:rPr>
        <w:t xml:space="preserve"> - </w:t>
      </w:r>
      <w:hyperlink w:anchor="P784" w:history="1">
        <w:r w:rsidRPr="00F7193E">
          <w:rPr>
            <w:rFonts w:ascii="Times New Roman" w:hAnsi="Times New Roman" w:cs="Times New Roman"/>
          </w:rPr>
          <w:t>46</w:t>
        </w:r>
      </w:hyperlink>
      <w:r w:rsidRPr="00F7193E">
        <w:rPr>
          <w:rFonts w:ascii="Times New Roman" w:hAnsi="Times New Roman" w:cs="Times New Roman"/>
        </w:rPr>
        <w:t xml:space="preserve"> используются организациями и иными лицами с учетом специфики осуществляемой деятельности.</w:t>
      </w:r>
    </w:p>
    <w:p w:rsidR="00F7193E" w:rsidRPr="00F7193E" w:rsidRDefault="00F7193E">
      <w:pPr>
        <w:pBdr>
          <w:top w:val="single" w:sz="6" w:space="0" w:color="auto"/>
        </w:pBdr>
        <w:spacing w:before="100" w:after="100"/>
        <w:jc w:val="both"/>
        <w:rPr>
          <w:rFonts w:ascii="Times New Roman" w:hAnsi="Times New Roman" w:cs="Times New Roman"/>
          <w:sz w:val="2"/>
          <w:szCs w:val="2"/>
        </w:rPr>
      </w:pPr>
    </w:p>
    <w:p w:rsidR="00F7193E" w:rsidRPr="00F7193E" w:rsidRDefault="00F7193E">
      <w:pPr>
        <w:spacing w:after="1" w:line="220" w:lineRule="atLeast"/>
        <w:ind w:firstLine="540"/>
        <w:jc w:val="both"/>
        <w:rPr>
          <w:rFonts w:ascii="Times New Roman" w:hAnsi="Times New Roman" w:cs="Times New Roman"/>
        </w:rPr>
      </w:pPr>
      <w:proofErr w:type="spellStart"/>
      <w:r w:rsidRPr="00F7193E">
        <w:rPr>
          <w:rFonts w:ascii="Times New Roman" w:hAnsi="Times New Roman" w:cs="Times New Roman"/>
        </w:rPr>
        <w:t>КонсультантПлюс</w:t>
      </w:r>
      <w:proofErr w:type="spellEnd"/>
      <w:r w:rsidRPr="00F7193E">
        <w:rPr>
          <w:rFonts w:ascii="Times New Roman" w:hAnsi="Times New Roman" w:cs="Times New Roman"/>
        </w:rPr>
        <w:t>: примечание.</w:t>
      </w:r>
    </w:p>
    <w:p w:rsidR="00F7193E" w:rsidRPr="00F7193E" w:rsidRDefault="00F7193E">
      <w:pPr>
        <w:spacing w:after="1" w:line="220" w:lineRule="atLeast"/>
        <w:ind w:firstLine="540"/>
        <w:jc w:val="both"/>
        <w:rPr>
          <w:rFonts w:ascii="Times New Roman" w:hAnsi="Times New Roman" w:cs="Times New Roman"/>
        </w:rPr>
      </w:pPr>
      <w:hyperlink r:id="rId26" w:history="1">
        <w:r w:rsidRPr="00F7193E">
          <w:rPr>
            <w:rFonts w:ascii="Times New Roman" w:hAnsi="Times New Roman" w:cs="Times New Roman"/>
          </w:rPr>
          <w:t>Приказом</w:t>
        </w:r>
      </w:hyperlink>
      <w:r w:rsidRPr="00F7193E">
        <w:rPr>
          <w:rFonts w:ascii="Times New Roman" w:hAnsi="Times New Roman" w:cs="Times New Roman"/>
        </w:rPr>
        <w:t xml:space="preserve"> Росфинмониторинга от 22.04.2015 № 110 признан утратившим силу </w:t>
      </w:r>
      <w:hyperlink r:id="rId27" w:history="1">
        <w:r w:rsidRPr="00F7193E">
          <w:rPr>
            <w:rFonts w:ascii="Times New Roman" w:hAnsi="Times New Roman" w:cs="Times New Roman"/>
          </w:rPr>
          <w:t>Приказ</w:t>
        </w:r>
      </w:hyperlink>
      <w:r w:rsidRPr="00F7193E">
        <w:rPr>
          <w:rFonts w:ascii="Times New Roman" w:hAnsi="Times New Roman" w:cs="Times New Roman"/>
        </w:rPr>
        <w:t xml:space="preserve"> Росфинмониторинга от 05.10.2009 № 245 и утвержден новый </w:t>
      </w:r>
      <w:hyperlink r:id="rId28" w:history="1">
        <w:r w:rsidRPr="00F7193E">
          <w:rPr>
            <w:rFonts w:ascii="Times New Roman" w:hAnsi="Times New Roman" w:cs="Times New Roman"/>
          </w:rPr>
          <w:t>порядок</w:t>
        </w:r>
      </w:hyperlink>
      <w:r w:rsidRPr="00F7193E">
        <w:rPr>
          <w:rFonts w:ascii="Times New Roman" w:hAnsi="Times New Roman" w:cs="Times New Roman"/>
        </w:rPr>
        <w:t xml:space="preserve"> формирования и направления в Росфинмониторинг информации, предусмотренной Федеральным законом от 7 августа 2001 г. № 115-ФЗ "О противодействии легализации (отмыванию) доходов, полученных преступным путем, и финансированию терроризма".</w:t>
      </w:r>
    </w:p>
    <w:p w:rsidR="00F7193E" w:rsidRPr="00F7193E" w:rsidRDefault="00F7193E">
      <w:pPr>
        <w:pBdr>
          <w:top w:val="single" w:sz="6" w:space="0" w:color="auto"/>
        </w:pBdr>
        <w:spacing w:before="100" w:after="100"/>
        <w:jc w:val="both"/>
        <w:rPr>
          <w:rFonts w:ascii="Times New Roman" w:hAnsi="Times New Roman" w:cs="Times New Roman"/>
          <w:sz w:val="2"/>
          <w:szCs w:val="2"/>
        </w:rPr>
      </w:pPr>
    </w:p>
    <w:p w:rsidR="00F7193E" w:rsidRPr="00F7193E" w:rsidRDefault="00F7193E">
      <w:pPr>
        <w:spacing w:after="1" w:line="220" w:lineRule="atLeast"/>
        <w:ind w:firstLine="540"/>
        <w:jc w:val="both"/>
        <w:rPr>
          <w:rFonts w:ascii="Times New Roman" w:hAnsi="Times New Roman" w:cs="Times New Roman"/>
        </w:rPr>
      </w:pPr>
      <w:bookmarkStart w:id="8" w:name="P812"/>
      <w:bookmarkEnd w:id="8"/>
      <w:r w:rsidRPr="00F7193E">
        <w:rPr>
          <w:rFonts w:ascii="Times New Roman" w:hAnsi="Times New Roman" w:cs="Times New Roman"/>
        </w:rPr>
        <w:t xml:space="preserve">&lt;2&gt; Код критерия/признака используется при заполнении </w:t>
      </w:r>
      <w:hyperlink r:id="rId29" w:history="1">
        <w:r w:rsidRPr="00F7193E">
          <w:rPr>
            <w:rFonts w:ascii="Times New Roman" w:hAnsi="Times New Roman" w:cs="Times New Roman"/>
          </w:rPr>
          <w:t>реквизита 125</w:t>
        </w:r>
      </w:hyperlink>
      <w:r w:rsidRPr="00F7193E">
        <w:rPr>
          <w:rFonts w:ascii="Times New Roman" w:hAnsi="Times New Roman" w:cs="Times New Roman"/>
        </w:rPr>
        <w:t xml:space="preserve"> "Код вида необычной операции" Листа 01 Формы 4-СПД, содержащейся в Приложении 1 к Инструкции "О представлении в Федеральную службу но финансовому мониторингу информации, предусмотренной Федеральным законом от 7 августа 2001 года № 115-ФЗ "О противодействии легализации (отмыванию) доходов, полученных преступным путем, и финансированию терроризма", утвержденной приказом Федеральной службы по финансовому мониторингу от 05.10.2009 № 245.</w:t>
      </w:r>
    </w:p>
    <w:p w:rsidR="00F7193E" w:rsidRPr="00F7193E" w:rsidRDefault="00F7193E">
      <w:pPr>
        <w:spacing w:after="1" w:line="220" w:lineRule="atLeast"/>
        <w:ind w:firstLine="540"/>
        <w:jc w:val="both"/>
        <w:rPr>
          <w:rFonts w:ascii="Times New Roman" w:hAnsi="Times New Roman" w:cs="Times New Roman"/>
        </w:rPr>
      </w:pPr>
      <w:bookmarkStart w:id="9" w:name="P813"/>
      <w:bookmarkEnd w:id="9"/>
      <w:r w:rsidRPr="00F7193E">
        <w:rPr>
          <w:rFonts w:ascii="Times New Roman" w:hAnsi="Times New Roman" w:cs="Times New Roman"/>
        </w:rPr>
        <w:t xml:space="preserve">&lt;3&gt; Понятие "некоммерческая организация" определено Федеральным </w:t>
      </w:r>
      <w:hyperlink r:id="rId30" w:history="1">
        <w:r w:rsidRPr="00F7193E">
          <w:rPr>
            <w:rFonts w:ascii="Times New Roman" w:hAnsi="Times New Roman" w:cs="Times New Roman"/>
          </w:rPr>
          <w:t>законом</w:t>
        </w:r>
      </w:hyperlink>
      <w:r w:rsidRPr="00F7193E">
        <w:rPr>
          <w:rFonts w:ascii="Times New Roman" w:hAnsi="Times New Roman" w:cs="Times New Roman"/>
        </w:rPr>
        <w:t xml:space="preserve"> от 12.01.1996 № 7-ФЗ "О некоммерческих организациях".</w:t>
      </w:r>
    </w:p>
    <w:p w:rsidR="00F7193E" w:rsidRPr="00F7193E" w:rsidRDefault="00F7193E">
      <w:pPr>
        <w:spacing w:after="1" w:line="220" w:lineRule="atLeast"/>
        <w:ind w:firstLine="540"/>
        <w:jc w:val="both"/>
        <w:rPr>
          <w:rFonts w:ascii="Times New Roman" w:hAnsi="Times New Roman" w:cs="Times New Roman"/>
        </w:rPr>
      </w:pPr>
      <w:bookmarkStart w:id="10" w:name="P814"/>
      <w:bookmarkEnd w:id="10"/>
      <w:r w:rsidRPr="00F7193E">
        <w:rPr>
          <w:rFonts w:ascii="Times New Roman" w:hAnsi="Times New Roman" w:cs="Times New Roman"/>
        </w:rPr>
        <w:t>&lt;4&gt; Данные сведения могут быть установлены на основании информации, размещенной на сайте www.zakupki.gov.ru.</w:t>
      </w:r>
    </w:p>
    <w:p w:rsidR="00F7193E" w:rsidRPr="00F7193E" w:rsidRDefault="00F7193E">
      <w:pPr>
        <w:spacing w:after="1" w:line="220" w:lineRule="atLeast"/>
        <w:ind w:firstLine="540"/>
        <w:jc w:val="both"/>
        <w:rPr>
          <w:rFonts w:ascii="Times New Roman" w:hAnsi="Times New Roman" w:cs="Times New Roman"/>
        </w:rPr>
      </w:pPr>
      <w:bookmarkStart w:id="11" w:name="P815"/>
      <w:bookmarkEnd w:id="11"/>
      <w:r w:rsidRPr="00F7193E">
        <w:rPr>
          <w:rFonts w:ascii="Times New Roman" w:hAnsi="Times New Roman" w:cs="Times New Roman"/>
        </w:rPr>
        <w:t xml:space="preserve">&lt;5&gt; Перечень составляется и ведется Федеральной службой по финансовому мониторингу в соответствии с </w:t>
      </w:r>
      <w:hyperlink r:id="rId31" w:history="1">
        <w:r w:rsidRPr="00F7193E">
          <w:rPr>
            <w:rFonts w:ascii="Times New Roman" w:hAnsi="Times New Roman" w:cs="Times New Roman"/>
          </w:rPr>
          <w:t>постановлением</w:t>
        </w:r>
      </w:hyperlink>
      <w:r w:rsidRPr="00F7193E">
        <w:rPr>
          <w:rFonts w:ascii="Times New Roman" w:hAnsi="Times New Roman" w:cs="Times New Roman"/>
        </w:rPr>
        <w:t xml:space="preserve"> Правительства Российской Федерации от 18.01.2003 № 27 "Об утверждении Положения о порядке определения перечня организаций и физических лиц, в отношении которых имеются сведения об их причастности к экстремистской деятельности или терроризму, и доведения этого перечня до сведения организаций, осуществляющих операции с денежными средствами или иным имуществом" (Собрание законодательства Российской Федерации, 2003, № 4, ст. 329; 2005, № 44, ст. 4562; 2006, № 3, ст. 297; 2008, № 48, ст. 5604; № 50, ст. 5958; 2011, № 14, ст. 1936).</w:t>
      </w:r>
    </w:p>
    <w:p w:rsidR="00F7193E" w:rsidRPr="00F7193E" w:rsidRDefault="00F7193E">
      <w:pPr>
        <w:spacing w:after="1" w:line="220" w:lineRule="atLeast"/>
        <w:ind w:firstLine="540"/>
        <w:jc w:val="both"/>
        <w:rPr>
          <w:rFonts w:ascii="Times New Roman" w:hAnsi="Times New Roman" w:cs="Times New Roman"/>
        </w:rPr>
      </w:pPr>
      <w:bookmarkStart w:id="12" w:name="P816"/>
      <w:bookmarkEnd w:id="12"/>
      <w:r w:rsidRPr="00F7193E">
        <w:rPr>
          <w:rFonts w:ascii="Times New Roman" w:hAnsi="Times New Roman" w:cs="Times New Roman"/>
        </w:rPr>
        <w:t>&lt;6&gt; Данный пункт не распространяется на профессиональных участников рынка ценных бумаг, выполняющих функции расчетного депозитария на рынке ценных бумаг.</w:t>
      </w:r>
    </w:p>
    <w:p w:rsidR="00F7193E" w:rsidRPr="00F7193E" w:rsidRDefault="00F7193E">
      <w:pPr>
        <w:spacing w:after="1" w:line="220" w:lineRule="atLeast"/>
        <w:ind w:firstLine="540"/>
        <w:jc w:val="both"/>
        <w:rPr>
          <w:rFonts w:ascii="Times New Roman" w:hAnsi="Times New Roman" w:cs="Times New Roman"/>
        </w:rPr>
      </w:pPr>
      <w:bookmarkStart w:id="13" w:name="P817"/>
      <w:bookmarkEnd w:id="13"/>
      <w:r w:rsidRPr="00F7193E">
        <w:rPr>
          <w:rFonts w:ascii="Times New Roman" w:hAnsi="Times New Roman" w:cs="Times New Roman"/>
        </w:rPr>
        <w:t xml:space="preserve">&lt;7&gt; Признаки </w:t>
      </w:r>
      <w:hyperlink w:anchor="P721" w:history="1">
        <w:r w:rsidRPr="00F7193E">
          <w:rPr>
            <w:rFonts w:ascii="Times New Roman" w:hAnsi="Times New Roman" w:cs="Times New Roman"/>
          </w:rPr>
          <w:t>группы 44</w:t>
        </w:r>
      </w:hyperlink>
      <w:r w:rsidRPr="00F7193E">
        <w:rPr>
          <w:rFonts w:ascii="Times New Roman" w:hAnsi="Times New Roman" w:cs="Times New Roman"/>
        </w:rPr>
        <w:t xml:space="preserve"> используются кредитными потребительскими кооперативами, в том числе сельскохозяйственными кредитными потребительскими кооперативами.</w:t>
      </w:r>
    </w:p>
    <w:p w:rsidR="00F7193E" w:rsidRPr="00F7193E" w:rsidRDefault="00F7193E">
      <w:pPr>
        <w:spacing w:after="1" w:line="220" w:lineRule="atLeast"/>
        <w:jc w:val="center"/>
        <w:rPr>
          <w:rFonts w:ascii="Times New Roman" w:hAnsi="Times New Roman" w:cs="Times New Roman"/>
        </w:rPr>
      </w:pPr>
    </w:p>
    <w:p w:rsidR="00F7193E" w:rsidRPr="00F7193E" w:rsidRDefault="00F7193E">
      <w:pPr>
        <w:spacing w:after="1" w:line="220" w:lineRule="atLeast"/>
        <w:ind w:firstLine="540"/>
        <w:jc w:val="both"/>
        <w:rPr>
          <w:rFonts w:ascii="Times New Roman" w:hAnsi="Times New Roman" w:cs="Times New Roman"/>
        </w:rPr>
      </w:pPr>
    </w:p>
    <w:p w:rsidR="00F7193E" w:rsidRPr="00F7193E" w:rsidRDefault="00F7193E">
      <w:pPr>
        <w:pBdr>
          <w:top w:val="single" w:sz="6" w:space="0" w:color="auto"/>
        </w:pBdr>
        <w:spacing w:before="100" w:after="100"/>
        <w:jc w:val="both"/>
        <w:rPr>
          <w:rFonts w:ascii="Times New Roman" w:hAnsi="Times New Roman" w:cs="Times New Roman"/>
          <w:sz w:val="2"/>
          <w:szCs w:val="2"/>
        </w:rPr>
      </w:pPr>
    </w:p>
    <w:p w:rsidR="003516BE" w:rsidRPr="00F7193E" w:rsidRDefault="003516BE" w:rsidP="00F7193E">
      <w:pPr>
        <w:rPr>
          <w:rFonts w:ascii="Times New Roman" w:hAnsi="Times New Roman" w:cs="Times New Roman"/>
        </w:rPr>
      </w:pPr>
    </w:p>
    <w:sectPr w:rsidR="003516BE" w:rsidRPr="00F7193E" w:rsidSect="00B701E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6BE"/>
    <w:rsid w:val="003516BE"/>
    <w:rsid w:val="003855EB"/>
    <w:rsid w:val="005A02E3"/>
    <w:rsid w:val="00953D0F"/>
    <w:rsid w:val="00F7193E"/>
    <w:rsid w:val="00FC7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C53E7-E609-495C-B21F-3CADF8FA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516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3516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516B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F2D9253A2BE31656F66BD7DE2A111365173D1CF7826179A8CB1D4F58FDEF6B9D039F06D89BD912GEs2J" TargetMode="External"/><Relationship Id="rId13" Type="http://schemas.openxmlformats.org/officeDocument/2006/relationships/hyperlink" Target="consultantplus://offline/ref=0BF2D9253A2BE31656F66BD7DE2A111365103A1FF68B6179A8CB1D4F58FDEF6B9D039F06D89BD912GEs0J" TargetMode="External"/><Relationship Id="rId18" Type="http://schemas.openxmlformats.org/officeDocument/2006/relationships/hyperlink" Target="consultantplus://offline/ref=0BF2D9253A2BE31656F66BD7DE2A111366123C1DF2896179A8CB1D4F58FDEF6B9D039F06D89BD910GEsEJ" TargetMode="External"/><Relationship Id="rId26" Type="http://schemas.openxmlformats.org/officeDocument/2006/relationships/hyperlink" Target="consultantplus://offline/ref=0BF2D9253A2BE31656F66BD7DE2A1113651A3C19F18D6179A8CB1D4F58FDEF6B9D039F06D89BD912GEsFJ" TargetMode="External"/><Relationship Id="rId3" Type="http://schemas.openxmlformats.org/officeDocument/2006/relationships/settings" Target="settings.xml"/><Relationship Id="rId21" Type="http://schemas.openxmlformats.org/officeDocument/2006/relationships/hyperlink" Target="consultantplus://offline/ref=0BF2D9253A2BE31656F66BD7DE2A111366123C1DF2896179A8CB1D4F58FDEF6B9D039F06D9G9sDJ" TargetMode="External"/><Relationship Id="rId7" Type="http://schemas.openxmlformats.org/officeDocument/2006/relationships/hyperlink" Target="consultantplus://offline/ref=0BF2D9253A2BE31656F66BD7DE2A111365103A1FF68B6179A8CB1D4F58FDEF6B9D039F06D89BD912GEs2J" TargetMode="External"/><Relationship Id="rId12" Type="http://schemas.openxmlformats.org/officeDocument/2006/relationships/hyperlink" Target="consultantplus://offline/ref=0BF2D9253A2BE31656F66BD7DE2A111365173D1CF7826179A8CB1D4F58FDEF6B9D039F06D89BD912GEs2J" TargetMode="External"/><Relationship Id="rId17" Type="http://schemas.openxmlformats.org/officeDocument/2006/relationships/hyperlink" Target="consultantplus://offline/ref=0BF2D9253A2BE31656F66BD7DE2A111365173B1AF48E6179A8CB1D4F58FDEF6B9D039F06D89BD912GEs2J" TargetMode="External"/><Relationship Id="rId25" Type="http://schemas.openxmlformats.org/officeDocument/2006/relationships/hyperlink" Target="consultantplus://offline/ref=0BF2D9253A2BE31656F66BD7DE2A111365173B1AF48E6179A8CB1D4F58FDEF6B9D039F06D89BD912GEsFJ"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BF2D9253A2BE31656F66BD7DE2A111365173D1CF7826179A8CB1D4F58FDEF6B9D039F06D89BD912GEs0J" TargetMode="External"/><Relationship Id="rId20" Type="http://schemas.openxmlformats.org/officeDocument/2006/relationships/hyperlink" Target="consultantplus://offline/ref=0BF2D9253A2BE31656F66BD7DE2A111366123C1DF2896179A8CB1D4F58GFsDJ" TargetMode="External"/><Relationship Id="rId29" Type="http://schemas.openxmlformats.org/officeDocument/2006/relationships/hyperlink" Target="consultantplus://offline/ref=0BF2D9253A2BE31656F66BD7DE2A11136517341CF0896179A8CB1D4F58FDEF6B9D039F06D89BD813GEs1J" TargetMode="External"/><Relationship Id="rId1" Type="http://schemas.openxmlformats.org/officeDocument/2006/relationships/customXml" Target="../customXml/item1.xml"/><Relationship Id="rId6" Type="http://schemas.openxmlformats.org/officeDocument/2006/relationships/hyperlink" Target="consultantplus://offline/ref=0BF2D9253A2BE31656F66BD7DE2A11136513381EF3886179A8CB1D4F58FDEF6B9D039F06D89BD912GEs2J" TargetMode="External"/><Relationship Id="rId11" Type="http://schemas.openxmlformats.org/officeDocument/2006/relationships/hyperlink" Target="consultantplus://offline/ref=0BF2D9253A2BE31656F66BD7DE2A111366123814FC836179A8CB1D4F58FDEF6B9D039F06D89BD913GEs4J" TargetMode="External"/><Relationship Id="rId24" Type="http://schemas.openxmlformats.org/officeDocument/2006/relationships/hyperlink" Target="consultantplus://offline/ref=0BF2D9253A2BE31656F66BD7DE2A111362163415F6813C73A092114DG5sFJ" TargetMode="External"/><Relationship Id="rId32" Type="http://schemas.openxmlformats.org/officeDocument/2006/relationships/fontTable" Target="fontTable.xml"/><Relationship Id="rId5" Type="http://schemas.openxmlformats.org/officeDocument/2006/relationships/hyperlink" Target="consultantplus://offline/ref=0BF2D9253A2BE31656F66BD7DE2A111365123A1BF18C6179A8CB1D4F58FDEF6B9D039F06D89BD912GEs2J" TargetMode="External"/><Relationship Id="rId15" Type="http://schemas.openxmlformats.org/officeDocument/2006/relationships/hyperlink" Target="consultantplus://offline/ref=0BF2D9253A2BE31656F66BD7DE2A11136011341AFC813C73A092114D5FF2B07C9A4A9307D89ADEG1s3J" TargetMode="External"/><Relationship Id="rId23" Type="http://schemas.openxmlformats.org/officeDocument/2006/relationships/hyperlink" Target="consultantplus://offline/ref=0BF2D9253A2BE31656F66BD7DE2A111366123C1DF2896179A8CB1D4F58FDEF6B9D039F06D89BDA12GEs2J" TargetMode="External"/><Relationship Id="rId28" Type="http://schemas.openxmlformats.org/officeDocument/2006/relationships/hyperlink" Target="consultantplus://offline/ref=0BF2D9253A2BE31656F66BD7DE2A1113651A3C19F18D6179A8CB1D4F58FDEF6B9D039F06D89BD913GEs0J" TargetMode="External"/><Relationship Id="rId10" Type="http://schemas.openxmlformats.org/officeDocument/2006/relationships/hyperlink" Target="consultantplus://offline/ref=0BF2D9253A2BE31656F66BD7DE2A111366123C1DF2896179A8CB1D4F58FDEF6B9D039F06D9G9s8J" TargetMode="External"/><Relationship Id="rId19" Type="http://schemas.openxmlformats.org/officeDocument/2006/relationships/hyperlink" Target="consultantplus://offline/ref=0BF2D9253A2BE31656F66BD7DE2A111366123C1DF2896179A8CB1D4F58FDEF6B9D039F06D89BDB16GEs3J" TargetMode="External"/><Relationship Id="rId31" Type="http://schemas.openxmlformats.org/officeDocument/2006/relationships/hyperlink" Target="consultantplus://offline/ref=0BF2D9253A2BE31656F66BD7DE2A111365133E1EF0826179A8CB1D4F58GFsDJ" TargetMode="External"/><Relationship Id="rId4" Type="http://schemas.openxmlformats.org/officeDocument/2006/relationships/webSettings" Target="webSettings.xml"/><Relationship Id="rId9" Type="http://schemas.openxmlformats.org/officeDocument/2006/relationships/hyperlink" Target="consultantplus://offline/ref=0BF2D9253A2BE31656F66BD7DE2A111365173B1AF48E6179A8CB1D4F58FDEF6B9D039F06D89BD912GEs2J" TargetMode="External"/><Relationship Id="rId14" Type="http://schemas.openxmlformats.org/officeDocument/2006/relationships/hyperlink" Target="consultantplus://offline/ref=0BF2D9253A2BE31656F66BD7DE2A11136011341AFC813C73A092114D5FF2B07C9A4A9307D89ADDG1sBJ" TargetMode="External"/><Relationship Id="rId22" Type="http://schemas.openxmlformats.org/officeDocument/2006/relationships/hyperlink" Target="consultantplus://offline/ref=0BF2D9253A2BE31656F66BD7DE2A111366123C1DF2896179A8CB1D4F58FDEF6B9D039F06D9G9sDJ" TargetMode="External"/><Relationship Id="rId27" Type="http://schemas.openxmlformats.org/officeDocument/2006/relationships/hyperlink" Target="consultantplus://offline/ref=0BF2D9253A2BE31656F66BD7DE2A11136517341CF0896179A8CB1D4F58GFsDJ" TargetMode="External"/><Relationship Id="rId30" Type="http://schemas.openxmlformats.org/officeDocument/2006/relationships/hyperlink" Target="consultantplus://offline/ref=0BF2D9253A2BE31656F66BD7DE2A111366123C18F38F6179A8CB1D4F58GFs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32DD7-F06A-4377-ADC3-096BB0F0A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35</Pages>
  <Words>9921</Words>
  <Characters>56555</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yvHromova</dc:creator>
  <cp:keywords/>
  <dc:description/>
  <cp:lastModifiedBy>yvHromova</cp:lastModifiedBy>
  <cp:revision>4</cp:revision>
  <dcterms:created xsi:type="dcterms:W3CDTF">2016-11-22T09:26:00Z</dcterms:created>
  <dcterms:modified xsi:type="dcterms:W3CDTF">2016-11-22T09:46:00Z</dcterms:modified>
</cp:coreProperties>
</file>